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AF2C34" w:rsidP="005D0621">
            <w:pPr>
              <w:rPr>
                <w:b/>
              </w:rPr>
            </w:pPr>
            <w:r>
              <w:rPr>
                <w:rStyle w:val="Firstpagetablebold"/>
              </w:rPr>
              <w:t>17</w:t>
            </w:r>
            <w:r w:rsidR="00880A6C">
              <w:rPr>
                <w:rStyle w:val="Firstpagetablebold"/>
              </w:rPr>
              <w:t xml:space="preserve"> November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07736" w:rsidP="004A6D2F">
            <w:pPr>
              <w:rPr>
                <w:rStyle w:val="Firstpagetablebold"/>
              </w:rPr>
            </w:pPr>
            <w:r>
              <w:rPr>
                <w:rStyle w:val="Firstpagetablebold"/>
              </w:rPr>
              <w:t>Chief Executive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07736" w:rsidP="004A6D2F">
            <w:pPr>
              <w:rPr>
                <w:rStyle w:val="Firstpagetablebold"/>
              </w:rPr>
            </w:pPr>
            <w:r>
              <w:rPr>
                <w:rStyle w:val="Firstpagetablebold"/>
              </w:rPr>
              <w:t>Parliamentary Boundary Review 2018</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84F9C" w:rsidP="000F4751">
            <w:r>
              <w:t>To ask the Board to consider the views of party groups and formulate a response to the Boundary Commission for England’s proposals on parliamentary boundaries in Oxfordshire</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C4622C">
            <w:r w:rsidRPr="001356F1">
              <w:t>C</w:t>
            </w:r>
            <w:r w:rsidR="00C4622C">
              <w:t>llr</w:t>
            </w:r>
            <w:r w:rsidRPr="001356F1">
              <w:t xml:space="preserve"> </w:t>
            </w:r>
            <w:r w:rsidR="003161C0">
              <w:t>Price</w:t>
            </w:r>
            <w:r w:rsidRPr="001356F1">
              <w:t xml:space="preserve">, </w:t>
            </w:r>
            <w:r w:rsidR="003161C0">
              <w:t>Leader of the Council</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3161C0" w:rsidP="005F7F7E">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3161C0" w:rsidP="005F7F7E">
            <w:r>
              <w:t>None</w:t>
            </w:r>
          </w:p>
        </w:tc>
      </w:tr>
      <w:tr w:rsidR="005F7F7E" w:rsidRPr="00975B07" w:rsidTr="00A46E98">
        <w:trPr>
          <w:trHeight w:val="413"/>
        </w:trPr>
        <w:tc>
          <w:tcPr>
            <w:tcW w:w="8845" w:type="dxa"/>
            <w:gridSpan w:val="3"/>
            <w:tcBorders>
              <w:bottom w:val="single" w:sz="8" w:space="0" w:color="000000"/>
            </w:tcBorders>
          </w:tcPr>
          <w:p w:rsidR="005F7F7E" w:rsidRPr="00975B07" w:rsidRDefault="00AF2C34" w:rsidP="004A6D2F">
            <w:r>
              <w:rPr>
                <w:rStyle w:val="Firstpagetablebold"/>
              </w:rPr>
              <w:t xml:space="preserve">Recommendation: </w:t>
            </w:r>
            <w:r w:rsidRPr="00AF2C34">
              <w:rPr>
                <w:rStyle w:val="Firstpagetablebold"/>
                <w:b w:val="0"/>
              </w:rPr>
              <w:t>T</w:t>
            </w:r>
            <w:r w:rsidR="005F7F7E" w:rsidRPr="00AF2C34">
              <w:rPr>
                <w:rStyle w:val="Firstpagetablebold"/>
                <w:b w:val="0"/>
              </w:rPr>
              <w:t>hat the City Executive Board resolves to:</w:t>
            </w:r>
          </w:p>
        </w:tc>
      </w:tr>
      <w:tr w:rsidR="00032392" w:rsidRPr="00975B07" w:rsidTr="00DC2A36">
        <w:trPr>
          <w:trHeight w:val="533"/>
        </w:trPr>
        <w:tc>
          <w:tcPr>
            <w:tcW w:w="426" w:type="dxa"/>
            <w:tcBorders>
              <w:top w:val="single" w:sz="8" w:space="0" w:color="000000"/>
              <w:left w:val="single" w:sz="8" w:space="0" w:color="000000"/>
              <w:bottom w:val="nil"/>
              <w:right w:val="nil"/>
            </w:tcBorders>
          </w:tcPr>
          <w:p w:rsidR="00032392" w:rsidRPr="00975B07" w:rsidRDefault="00032392" w:rsidP="004A6D2F">
            <w:r w:rsidRPr="00975B07">
              <w:t>1.</w:t>
            </w:r>
          </w:p>
        </w:tc>
        <w:tc>
          <w:tcPr>
            <w:tcW w:w="8419" w:type="dxa"/>
            <w:gridSpan w:val="2"/>
            <w:vMerge w:val="restart"/>
            <w:tcBorders>
              <w:top w:val="single" w:sz="8" w:space="0" w:color="000000"/>
              <w:left w:val="nil"/>
              <w:right w:val="single" w:sz="8" w:space="0" w:color="000000"/>
            </w:tcBorders>
            <w:shd w:val="clear" w:color="auto" w:fill="auto"/>
          </w:tcPr>
          <w:p w:rsidR="00032392" w:rsidRPr="00F96796" w:rsidRDefault="00032392" w:rsidP="00032392">
            <w:pPr>
              <w:rPr>
                <w:b/>
              </w:rPr>
            </w:pPr>
            <w:r w:rsidRPr="00AF2C34">
              <w:rPr>
                <w:rStyle w:val="Firstpagetablebold"/>
              </w:rPr>
              <w:t>Agree</w:t>
            </w:r>
            <w:r w:rsidRPr="00F96796">
              <w:rPr>
                <w:rStyle w:val="Firstpagetablebold"/>
                <w:b w:val="0"/>
              </w:rPr>
              <w:t xml:space="preserve"> a response to the initial proposals of the Boundary Commission for England on parliamentary constituencies as they affect Oxford</w:t>
            </w:r>
            <w:r>
              <w:rPr>
                <w:rStyle w:val="Firstpagetablebold"/>
                <w:b w:val="0"/>
              </w:rPr>
              <w:t xml:space="preserve">shire and </w:t>
            </w:r>
            <w:r w:rsidRPr="00F96796">
              <w:rPr>
                <w:rStyle w:val="Firstpagetablebold"/>
                <w:b w:val="0"/>
              </w:rPr>
              <w:t>in drawing up that response to have regard to the comments made by party groups</w:t>
            </w:r>
            <w:r>
              <w:rPr>
                <w:rStyle w:val="Firstpagetablebold"/>
                <w:b w:val="0"/>
              </w:rPr>
              <w:t>.</w:t>
            </w:r>
          </w:p>
        </w:tc>
      </w:tr>
      <w:tr w:rsidR="00032392" w:rsidRPr="00975B07" w:rsidTr="00DC2A36">
        <w:trPr>
          <w:trHeight w:val="283"/>
        </w:trPr>
        <w:tc>
          <w:tcPr>
            <w:tcW w:w="426" w:type="dxa"/>
            <w:tcBorders>
              <w:top w:val="nil"/>
              <w:left w:val="single" w:sz="8" w:space="0" w:color="000000"/>
              <w:bottom w:val="single" w:sz="4" w:space="0" w:color="auto"/>
              <w:right w:val="nil"/>
            </w:tcBorders>
          </w:tcPr>
          <w:p w:rsidR="00032392" w:rsidRPr="00975B07" w:rsidRDefault="00032392" w:rsidP="00D8591A"/>
        </w:tc>
        <w:tc>
          <w:tcPr>
            <w:tcW w:w="8419" w:type="dxa"/>
            <w:gridSpan w:val="2"/>
            <w:vMerge/>
            <w:tcBorders>
              <w:left w:val="nil"/>
              <w:bottom w:val="single" w:sz="4" w:space="0" w:color="auto"/>
              <w:right w:val="single" w:sz="8" w:space="0" w:color="000000"/>
            </w:tcBorders>
            <w:shd w:val="clear" w:color="auto" w:fill="auto"/>
          </w:tcPr>
          <w:p w:rsidR="00032392" w:rsidRPr="00F96796" w:rsidRDefault="00032392" w:rsidP="009349FB">
            <w:pPr>
              <w:rPr>
                <w:b/>
              </w:rPr>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6341"/>
      </w:tblGrid>
      <w:tr w:rsidR="00966D42" w:rsidRPr="00975B07" w:rsidTr="00E3498C">
        <w:trPr>
          <w:trHeight w:val="348"/>
        </w:trPr>
        <w:tc>
          <w:tcPr>
            <w:tcW w:w="875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E3498C">
        <w:trPr>
          <w:trHeight w:val="1724"/>
        </w:trPr>
        <w:tc>
          <w:tcPr>
            <w:tcW w:w="2413" w:type="dxa"/>
            <w:tcBorders>
              <w:top w:val="single" w:sz="8" w:space="0" w:color="000000"/>
              <w:left w:val="single" w:sz="8" w:space="0" w:color="000000"/>
              <w:bottom w:val="single" w:sz="4" w:space="0" w:color="auto"/>
              <w:right w:val="nil"/>
            </w:tcBorders>
            <w:shd w:val="clear" w:color="auto" w:fill="auto"/>
          </w:tcPr>
          <w:p w:rsidR="009349FB" w:rsidRDefault="00F96796" w:rsidP="004A6D2F">
            <w:r>
              <w:t xml:space="preserve">Appendix </w:t>
            </w:r>
            <w:r w:rsidR="009349FB">
              <w:t>1</w:t>
            </w:r>
          </w:p>
          <w:p w:rsidR="00BA4D5D" w:rsidRPr="00BA4D5D" w:rsidRDefault="00BA4D5D" w:rsidP="004A6D2F">
            <w:pPr>
              <w:rPr>
                <w:sz w:val="32"/>
                <w:szCs w:val="32"/>
              </w:rPr>
            </w:pPr>
          </w:p>
          <w:p w:rsidR="00E3498C" w:rsidRDefault="009349FB" w:rsidP="004A6D2F">
            <w:r>
              <w:t>Appendix 2</w:t>
            </w:r>
          </w:p>
          <w:p w:rsidR="00E3498C" w:rsidRPr="00975B07" w:rsidRDefault="00E3498C" w:rsidP="004A6D2F">
            <w:r>
              <w:t>Appendix 3</w:t>
            </w:r>
          </w:p>
        </w:tc>
        <w:tc>
          <w:tcPr>
            <w:tcW w:w="6341" w:type="dxa"/>
            <w:tcBorders>
              <w:top w:val="single" w:sz="8" w:space="0" w:color="000000"/>
              <w:left w:val="nil"/>
              <w:bottom w:val="single" w:sz="4" w:space="0" w:color="auto"/>
              <w:right w:val="single" w:sz="8" w:space="0" w:color="000000"/>
            </w:tcBorders>
          </w:tcPr>
          <w:p w:rsidR="00E3498C" w:rsidRDefault="00D35F51" w:rsidP="004A6D2F">
            <w:r>
              <w:t>Electorate for the Boundary Commission for England’s</w:t>
            </w:r>
            <w:r w:rsidR="00FE20B5" w:rsidRPr="00FE20B5">
              <w:t xml:space="preserve"> proposed constituencies that cover Oxford City Council</w:t>
            </w:r>
            <w:r w:rsidR="0001362B">
              <w:t>.</w:t>
            </w:r>
          </w:p>
          <w:p w:rsidR="00BA4D5D" w:rsidRPr="00BA4D5D" w:rsidRDefault="00BA4D5D" w:rsidP="004A6D2F">
            <w:pPr>
              <w:rPr>
                <w:sz w:val="8"/>
                <w:szCs w:val="8"/>
              </w:rPr>
            </w:pPr>
          </w:p>
          <w:p w:rsidR="00E3498C" w:rsidRDefault="00E3498C" w:rsidP="004A6D2F">
            <w:r>
              <w:t xml:space="preserve">Political </w:t>
            </w:r>
            <w:r w:rsidR="00C4622C">
              <w:t>g</w:t>
            </w:r>
            <w:r>
              <w:t>roup</w:t>
            </w:r>
            <w:r w:rsidR="00C4622C">
              <w:t>s</w:t>
            </w:r>
            <w:r>
              <w:t xml:space="preserve"> </w:t>
            </w:r>
            <w:r w:rsidR="00C4622C">
              <w:t>comments on BCE’s proposal</w:t>
            </w:r>
          </w:p>
          <w:p w:rsidR="00E3498C" w:rsidRDefault="00E3498C" w:rsidP="004A6D2F">
            <w:r>
              <w:t>Risk register</w:t>
            </w:r>
          </w:p>
          <w:p w:rsidR="009349FB" w:rsidRPr="001356F1" w:rsidRDefault="009349FB" w:rsidP="006F0DE9">
            <w:pPr>
              <w:ind w:left="-2404"/>
            </w:pP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4C0320" w:rsidRPr="004C0320" w:rsidRDefault="004C0320" w:rsidP="00D35F51">
      <w:pPr>
        <w:pStyle w:val="ListParagraph"/>
        <w:rPr>
          <w:sz w:val="20"/>
        </w:rPr>
      </w:pPr>
      <w:r w:rsidRPr="004C0320">
        <w:t xml:space="preserve">The Parliamentary Voting System and Constituencies Act 2011 </w:t>
      </w:r>
      <w:proofErr w:type="gramStart"/>
      <w:r w:rsidRPr="004C0320">
        <w:t>makes</w:t>
      </w:r>
      <w:proofErr w:type="gramEnd"/>
      <w:r w:rsidRPr="004C0320">
        <w:t xml:space="preserve"> provision for a reduction in the number of Members of Parliament (and therefore parliamentary constituencies) from 650 to 600. For the current review, 501 of the constituencies will be in England. The Boundary Commission for England (BCE) is responsible for reviewing constituencies and drawing up proposals</w:t>
      </w:r>
      <w:r w:rsidR="00D00C85">
        <w:t xml:space="preserve">.  Its </w:t>
      </w:r>
      <w:r w:rsidR="00870482">
        <w:t xml:space="preserve">final </w:t>
      </w:r>
      <w:r w:rsidR="00D00C85">
        <w:t>report will subsequently be reviewed</w:t>
      </w:r>
      <w:r w:rsidR="008B4448">
        <w:t xml:space="preserve"> by </w:t>
      </w:r>
      <w:r w:rsidR="00870482">
        <w:t>P</w:t>
      </w:r>
      <w:r w:rsidR="008B4448">
        <w:t>arliament</w:t>
      </w:r>
      <w:r w:rsidRPr="004C0320">
        <w:t xml:space="preserve">. </w:t>
      </w:r>
    </w:p>
    <w:p w:rsidR="004C0320" w:rsidRPr="00A87E0F" w:rsidRDefault="004C0320" w:rsidP="00D35F51">
      <w:pPr>
        <w:pStyle w:val="bParagraphtext"/>
        <w:rPr>
          <w:sz w:val="20"/>
        </w:rPr>
      </w:pPr>
      <w:bookmarkStart w:id="0" w:name="_Ref300554462"/>
      <w:r w:rsidRPr="00A87E0F">
        <w:lastRenderedPageBreak/>
        <w:t>The intention/</w:t>
      </w:r>
      <w:r w:rsidR="00D35F51" w:rsidRPr="00A87E0F">
        <w:t>expectation</w:t>
      </w:r>
      <w:r w:rsidRPr="00A87E0F">
        <w:t xml:space="preserve"> is </w:t>
      </w:r>
      <w:r w:rsidR="008554DD">
        <w:t>that the</w:t>
      </w:r>
      <w:r w:rsidRPr="00A87E0F">
        <w:t xml:space="preserve"> new constituency boundaries </w:t>
      </w:r>
      <w:r w:rsidR="008554DD">
        <w:t>will</w:t>
      </w:r>
      <w:r w:rsidRPr="00A87E0F">
        <w:t xml:space="preserve"> become effective at the next parliamentary general election, scheduled for 7 May 2020.</w:t>
      </w:r>
      <w:bookmarkEnd w:id="0"/>
    </w:p>
    <w:p w:rsidR="004C0320" w:rsidRPr="00A87E0F" w:rsidRDefault="004C0320" w:rsidP="00D35F51">
      <w:pPr>
        <w:pStyle w:val="bParagraphtext"/>
        <w:rPr>
          <w:sz w:val="20"/>
        </w:rPr>
      </w:pPr>
      <w:r w:rsidRPr="00A87E0F">
        <w:t xml:space="preserve">The BCE has produced a </w:t>
      </w:r>
      <w:hyperlink r:id="rId9" w:history="1">
        <w:r w:rsidRPr="00A87E0F">
          <w:rPr>
            <w:color w:val="0000FF"/>
            <w:u w:val="single"/>
          </w:rPr>
          <w:t>guide to the review</w:t>
        </w:r>
      </w:hyperlink>
      <w:r w:rsidR="006561BE">
        <w:rPr>
          <w:color w:val="0000FF"/>
          <w:u w:val="single"/>
        </w:rPr>
        <w:t>.</w:t>
      </w:r>
      <w:r w:rsidRPr="00A87E0F">
        <w:t xml:space="preserve"> Further information about the review as a whole is available on the </w:t>
      </w:r>
      <w:r w:rsidR="002D3C10" w:rsidRPr="00A87E0F">
        <w:t xml:space="preserve">BCE website </w:t>
      </w:r>
      <w:r w:rsidRPr="00A87E0F">
        <w:t xml:space="preserve">at </w:t>
      </w:r>
      <w:hyperlink r:id="rId10" w:history="1">
        <w:r w:rsidRPr="00A87E0F">
          <w:rPr>
            <w:rStyle w:val="Hyperlink"/>
            <w:rFonts w:cs="Arial"/>
          </w:rPr>
          <w:t>www.independent.gov.uk/boundarycommissionforengland</w:t>
        </w:r>
      </w:hyperlink>
      <w:r w:rsidRPr="00A87E0F">
        <w:t xml:space="preserve">. There is also a separate website for consultation, from which the initial proposals can be accessed - </w:t>
      </w:r>
      <w:hyperlink r:id="rId11" w:history="1">
        <w:r w:rsidRPr="00A87E0F">
          <w:rPr>
            <w:color w:val="0000FF"/>
            <w:u w:val="single"/>
          </w:rPr>
          <w:t>www.bce2018.org.uk/</w:t>
        </w:r>
      </w:hyperlink>
      <w:r w:rsidRPr="00A87E0F">
        <w:t>.</w:t>
      </w:r>
    </w:p>
    <w:p w:rsidR="00633578" w:rsidRPr="001356F1" w:rsidRDefault="00404032" w:rsidP="00E87F7A">
      <w:pPr>
        <w:pStyle w:val="Heading1"/>
      </w:pPr>
      <w:r w:rsidRPr="001356F1">
        <w:t xml:space="preserve">Further </w:t>
      </w:r>
      <w:r w:rsidR="00403F61">
        <w:t>information</w:t>
      </w:r>
    </w:p>
    <w:p w:rsidR="00403F61" w:rsidRPr="00403F61" w:rsidRDefault="00403F61" w:rsidP="00D35F51">
      <w:pPr>
        <w:pStyle w:val="bParagraphtext"/>
        <w:rPr>
          <w:sz w:val="20"/>
        </w:rPr>
      </w:pPr>
      <w:r w:rsidRPr="00403F61">
        <w:t xml:space="preserve">The reduction in the number of MPs will inevitably mean a great many changes to the boundaries of parliamentary constituencies. One of the objectives of the review is to ensure that constituencies fall within a defined “electoral quota”, i.e. to ensure that there should broadly be equality in the number of electors represented by each MP. </w:t>
      </w:r>
    </w:p>
    <w:p w:rsidR="00403F61" w:rsidRPr="00403F61" w:rsidRDefault="00403F61" w:rsidP="00D35F51">
      <w:pPr>
        <w:pStyle w:val="bParagraphtext"/>
        <w:rPr>
          <w:sz w:val="20"/>
        </w:rPr>
      </w:pPr>
      <w:bookmarkStart w:id="1" w:name="_Ref299457437"/>
      <w:r w:rsidRPr="00403F61">
        <w:t>The review is based on the electorate at 1 December 2015</w:t>
      </w:r>
      <w:r w:rsidR="003F42AD">
        <w:t>.</w:t>
      </w:r>
      <w:r w:rsidRPr="00403F61">
        <w:t> </w:t>
      </w:r>
      <w:r w:rsidR="003F42AD">
        <w:t xml:space="preserve"> T</w:t>
      </w:r>
      <w:r w:rsidRPr="00403F61">
        <w:t>he electoral quota for each constituency is 74</w:t>
      </w:r>
      <w:r w:rsidR="003F42AD">
        <w:t>,</w:t>
      </w:r>
      <w:r w:rsidRPr="00403F61">
        <w:t xml:space="preserve">769; and no constituency </w:t>
      </w:r>
      <w:r w:rsidR="003F42AD">
        <w:t xml:space="preserve">is expected to </w:t>
      </w:r>
      <w:r w:rsidRPr="00403F61">
        <w:t xml:space="preserve">  </w:t>
      </w:r>
      <w:r w:rsidR="00734460">
        <w:t xml:space="preserve">fluctuate by </w:t>
      </w:r>
      <w:r w:rsidRPr="00403F61">
        <w:t xml:space="preserve">more than 5% </w:t>
      </w:r>
      <w:r w:rsidR="00734460">
        <w:t xml:space="preserve">either way </w:t>
      </w:r>
      <w:r w:rsidRPr="00403F61">
        <w:t>of that figure (i.e. all constituencies must have an electorate in the range of 71</w:t>
      </w:r>
      <w:r w:rsidR="007E290C">
        <w:t>,</w:t>
      </w:r>
      <w:r w:rsidRPr="00403F61">
        <w:t>031 to 78</w:t>
      </w:r>
      <w:r w:rsidR="007E290C">
        <w:t>,</w:t>
      </w:r>
      <w:r w:rsidRPr="00403F61">
        <w:t>507).</w:t>
      </w:r>
      <w:bookmarkEnd w:id="1"/>
      <w:r w:rsidRPr="00403F61">
        <w:t xml:space="preserve"> </w:t>
      </w:r>
    </w:p>
    <w:p w:rsidR="007E290C" w:rsidRDefault="00403F61" w:rsidP="00D35F51">
      <w:pPr>
        <w:pStyle w:val="bParagraphtext"/>
      </w:pPr>
      <w:bookmarkStart w:id="2" w:name="_Ref300560129"/>
      <w:r w:rsidRPr="00403F61">
        <w:t xml:space="preserve">As well as the electoral quota, the review will take into account local government and other boundaries, as well as community identity and the breaking of established ties. </w:t>
      </w:r>
    </w:p>
    <w:p w:rsidR="00C646BA" w:rsidRPr="006561BE" w:rsidRDefault="00403F61" w:rsidP="00D35F51">
      <w:pPr>
        <w:pStyle w:val="bParagraphtext"/>
      </w:pPr>
      <w:r w:rsidRPr="00403F61">
        <w:t>Oxfordshire is within the South East region, together with Berkshire, Buckinghamshire, Hampshire, Kent, Surrey and Sussex. In the guide, BCE drew attention to the facts that</w:t>
      </w:r>
      <w:r w:rsidR="007E290C">
        <w:t>;</w:t>
      </w:r>
      <w:r w:rsidRPr="00403F61">
        <w:t xml:space="preserve"> (i) seats had been allocated to each region in England; (ii) 81 of those were allocated to the South East, exclusive of the two seats required by the Act to be given to the Isle of Wight; and (iii) it would not make any initial proposals </w:t>
      </w:r>
      <w:r w:rsidR="00205500">
        <w:t xml:space="preserve">to </w:t>
      </w:r>
      <w:r w:rsidRPr="00403F61">
        <w:t>split constituencies between different regions, although such splits could ultimately aris</w:t>
      </w:r>
      <w:r w:rsidR="00E55F08">
        <w:t>e</w:t>
      </w:r>
      <w:r w:rsidRPr="00403F61">
        <w:t xml:space="preserve"> from the responses to its initial proposals.</w:t>
      </w:r>
      <w:bookmarkEnd w:id="2"/>
      <w:r w:rsidRPr="00403F61">
        <w:t xml:space="preserve"> </w:t>
      </w:r>
    </w:p>
    <w:p w:rsidR="009B5307" w:rsidRDefault="009B5307" w:rsidP="00855877">
      <w:pPr>
        <w:pStyle w:val="ReportPara"/>
        <w:numPr>
          <w:ilvl w:val="0"/>
          <w:numId w:val="0"/>
        </w:numPr>
        <w:rPr>
          <w:rFonts w:ascii="Arial" w:hAnsi="Arial" w:cs="Arial"/>
          <w:b/>
        </w:rPr>
      </w:pPr>
      <w:r w:rsidRPr="009B5307">
        <w:rPr>
          <w:rFonts w:ascii="Arial" w:hAnsi="Arial" w:cs="Arial"/>
          <w:b/>
        </w:rPr>
        <w:t>Current Situation in Oxfordshire</w:t>
      </w:r>
    </w:p>
    <w:p w:rsidR="00C019CD" w:rsidRPr="00D35F51" w:rsidRDefault="009B5307" w:rsidP="00D35F51">
      <w:pPr>
        <w:pStyle w:val="bParagraphtext"/>
      </w:pPr>
      <w:r w:rsidRPr="009B5307">
        <w:t>T</w:t>
      </w:r>
      <w:bookmarkStart w:id="3" w:name="_GoBack"/>
      <w:bookmarkEnd w:id="3"/>
      <w:r w:rsidRPr="009B5307">
        <w:t>he current electorate information for Oxfordshire is summarised as follows:</w:t>
      </w:r>
    </w:p>
    <w:tbl>
      <w:tblPr>
        <w:tblW w:w="7898"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990"/>
        <w:gridCol w:w="1044"/>
        <w:gridCol w:w="1187"/>
        <w:gridCol w:w="1188"/>
        <w:gridCol w:w="17"/>
        <w:gridCol w:w="1222"/>
      </w:tblGrid>
      <w:tr w:rsidR="009B5307" w:rsidRPr="009B5307" w:rsidTr="00A0569E">
        <w:trPr>
          <w:cantSplit/>
          <w:trHeight w:val="330"/>
        </w:trPr>
        <w:tc>
          <w:tcPr>
            <w:tcW w:w="3240" w:type="dxa"/>
            <w:gridSpan w:val="2"/>
            <w:shd w:val="clear" w:color="auto" w:fill="000000"/>
            <w:noWrap/>
          </w:tcPr>
          <w:p w:rsidR="009B5307" w:rsidRPr="009B5307" w:rsidRDefault="009B5307" w:rsidP="009B5307">
            <w:pPr>
              <w:spacing w:after="0"/>
              <w:rPr>
                <w:rFonts w:cs="Arial"/>
                <w:b/>
                <w:bCs/>
                <w:color w:val="auto"/>
              </w:rPr>
            </w:pPr>
            <w:r w:rsidRPr="009B5307">
              <w:rPr>
                <w:rFonts w:cs="Arial"/>
                <w:b/>
                <w:bCs/>
                <w:color w:val="auto"/>
              </w:rPr>
              <w:t xml:space="preserve">Electorate </w:t>
            </w:r>
            <w:r w:rsidRPr="009B5307">
              <w:rPr>
                <w:rFonts w:cs="Arial"/>
                <w:b/>
                <w:bCs/>
                <w:color w:val="auto"/>
              </w:rPr>
              <w:br/>
              <w:t xml:space="preserve">at 1/12/15 </w:t>
            </w:r>
          </w:p>
        </w:tc>
        <w:tc>
          <w:tcPr>
            <w:tcW w:w="3436" w:type="dxa"/>
            <w:gridSpan w:val="4"/>
            <w:shd w:val="clear" w:color="auto" w:fill="000000"/>
            <w:noWrap/>
          </w:tcPr>
          <w:p w:rsidR="009B5307" w:rsidRPr="009B5307" w:rsidRDefault="009B5307" w:rsidP="001E7696">
            <w:pPr>
              <w:spacing w:after="0"/>
              <w:rPr>
                <w:rFonts w:cs="Arial"/>
                <w:b/>
                <w:bCs/>
                <w:color w:val="auto"/>
              </w:rPr>
            </w:pPr>
            <w:r w:rsidRPr="009B5307">
              <w:rPr>
                <w:rFonts w:cs="Arial"/>
                <w:b/>
                <w:bCs/>
                <w:color w:val="auto"/>
              </w:rPr>
              <w:t xml:space="preserve">Difference from </w:t>
            </w:r>
            <w:r w:rsidRPr="009B5307">
              <w:rPr>
                <w:rFonts w:cs="Arial"/>
                <w:b/>
                <w:bCs/>
                <w:color w:val="auto"/>
              </w:rPr>
              <w:br/>
              <w:t>Electoral Quota</w:t>
            </w:r>
          </w:p>
        </w:tc>
        <w:tc>
          <w:tcPr>
            <w:tcW w:w="1222" w:type="dxa"/>
            <w:shd w:val="clear" w:color="auto" w:fill="000000"/>
          </w:tcPr>
          <w:p w:rsidR="009B5307" w:rsidRPr="009B5307" w:rsidRDefault="009B5307" w:rsidP="009B5307">
            <w:pPr>
              <w:spacing w:after="0"/>
              <w:jc w:val="center"/>
              <w:rPr>
                <w:rFonts w:cs="Arial"/>
                <w:b/>
                <w:bCs/>
                <w:color w:val="auto"/>
              </w:rPr>
            </w:pPr>
            <w:r w:rsidRPr="009B5307">
              <w:rPr>
                <w:rFonts w:cs="Arial"/>
                <w:b/>
                <w:bCs/>
                <w:color w:val="auto"/>
              </w:rPr>
              <w:t>Within range?</w:t>
            </w:r>
          </w:p>
        </w:tc>
      </w:tr>
      <w:tr w:rsidR="009B5307" w:rsidRPr="009B5307" w:rsidTr="00A0569E">
        <w:trPr>
          <w:trHeight w:val="330"/>
        </w:trPr>
        <w:tc>
          <w:tcPr>
            <w:tcW w:w="2250" w:type="dxa"/>
            <w:shd w:val="clear" w:color="auto" w:fill="auto"/>
            <w:noWrap/>
            <w:vAlign w:val="bottom"/>
          </w:tcPr>
          <w:p w:rsidR="009B5307" w:rsidRPr="009B5307" w:rsidRDefault="009B5307" w:rsidP="009B5307">
            <w:pPr>
              <w:spacing w:after="0"/>
              <w:rPr>
                <w:rFonts w:cs="Arial"/>
                <w:color w:val="auto"/>
              </w:rPr>
            </w:pPr>
          </w:p>
        </w:tc>
        <w:tc>
          <w:tcPr>
            <w:tcW w:w="990" w:type="dxa"/>
            <w:shd w:val="clear" w:color="auto" w:fill="auto"/>
            <w:noWrap/>
            <w:vAlign w:val="bottom"/>
          </w:tcPr>
          <w:p w:rsidR="009B5307" w:rsidRPr="009B5307" w:rsidRDefault="009B5307" w:rsidP="009B5307">
            <w:pPr>
              <w:spacing w:after="0"/>
              <w:rPr>
                <w:rFonts w:cs="Arial"/>
                <w:color w:val="auto"/>
              </w:rPr>
            </w:pPr>
          </w:p>
        </w:tc>
        <w:tc>
          <w:tcPr>
            <w:tcW w:w="1044" w:type="dxa"/>
            <w:shd w:val="clear" w:color="auto" w:fill="auto"/>
            <w:noWrap/>
            <w:vAlign w:val="bottom"/>
          </w:tcPr>
          <w:p w:rsidR="009B5307" w:rsidRPr="006F0DE9" w:rsidRDefault="009B5307" w:rsidP="009B5307">
            <w:pPr>
              <w:spacing w:after="0"/>
              <w:jc w:val="center"/>
              <w:rPr>
                <w:rFonts w:cs="Arial"/>
                <w:b/>
                <w:color w:val="auto"/>
              </w:rPr>
            </w:pPr>
            <w:r w:rsidRPr="006F0DE9">
              <w:rPr>
                <w:rFonts w:cs="Arial"/>
                <w:b/>
                <w:color w:val="auto"/>
              </w:rPr>
              <w:t>(Min)</w:t>
            </w:r>
          </w:p>
        </w:tc>
        <w:tc>
          <w:tcPr>
            <w:tcW w:w="1187" w:type="dxa"/>
            <w:vAlign w:val="bottom"/>
          </w:tcPr>
          <w:p w:rsidR="009B5307" w:rsidRPr="006F0DE9" w:rsidRDefault="009B5307" w:rsidP="009B5307">
            <w:pPr>
              <w:spacing w:after="0"/>
              <w:jc w:val="center"/>
              <w:rPr>
                <w:rFonts w:cs="Arial"/>
                <w:b/>
                <w:color w:val="auto"/>
              </w:rPr>
            </w:pPr>
            <w:r w:rsidRPr="006F0DE9">
              <w:rPr>
                <w:rFonts w:cs="Arial"/>
                <w:b/>
                <w:color w:val="auto"/>
              </w:rPr>
              <w:t>(Max)</w:t>
            </w:r>
          </w:p>
        </w:tc>
        <w:tc>
          <w:tcPr>
            <w:tcW w:w="1188" w:type="dxa"/>
            <w:vAlign w:val="bottom"/>
          </w:tcPr>
          <w:p w:rsidR="009B5307" w:rsidRPr="006F0DE9" w:rsidRDefault="009B5307" w:rsidP="009B5307">
            <w:pPr>
              <w:spacing w:after="0"/>
              <w:jc w:val="center"/>
              <w:rPr>
                <w:rFonts w:cs="Arial"/>
                <w:b/>
                <w:color w:val="auto"/>
              </w:rPr>
            </w:pPr>
            <w:r w:rsidRPr="006F0DE9">
              <w:rPr>
                <w:rFonts w:cs="Arial"/>
                <w:b/>
                <w:color w:val="auto"/>
              </w:rPr>
              <w:t>(Quota)</w:t>
            </w:r>
          </w:p>
        </w:tc>
        <w:tc>
          <w:tcPr>
            <w:tcW w:w="1239" w:type="dxa"/>
            <w:gridSpan w:val="2"/>
            <w:shd w:val="clear" w:color="auto" w:fill="auto"/>
            <w:noWrap/>
            <w:vAlign w:val="bottom"/>
          </w:tcPr>
          <w:p w:rsidR="009B5307" w:rsidRPr="009B5307" w:rsidRDefault="009B5307" w:rsidP="009B5307">
            <w:pPr>
              <w:spacing w:after="0"/>
              <w:jc w:val="center"/>
              <w:rPr>
                <w:rFonts w:cs="Arial"/>
                <w:color w:val="auto"/>
              </w:rPr>
            </w:pPr>
          </w:p>
        </w:tc>
      </w:tr>
      <w:tr w:rsidR="009B5307" w:rsidRPr="009B5307" w:rsidTr="00A0569E">
        <w:trPr>
          <w:trHeight w:val="300"/>
        </w:trPr>
        <w:tc>
          <w:tcPr>
            <w:tcW w:w="2250" w:type="dxa"/>
            <w:shd w:val="clear" w:color="auto" w:fill="auto"/>
            <w:noWrap/>
            <w:vAlign w:val="bottom"/>
          </w:tcPr>
          <w:p w:rsidR="009B5307" w:rsidRPr="009B5307" w:rsidRDefault="009B5307" w:rsidP="009B5307">
            <w:pPr>
              <w:spacing w:after="0"/>
              <w:rPr>
                <w:rFonts w:cs="Arial"/>
                <w:color w:val="auto"/>
              </w:rPr>
            </w:pPr>
          </w:p>
        </w:tc>
        <w:tc>
          <w:tcPr>
            <w:tcW w:w="990" w:type="dxa"/>
            <w:shd w:val="clear" w:color="auto" w:fill="auto"/>
            <w:noWrap/>
            <w:vAlign w:val="bottom"/>
          </w:tcPr>
          <w:p w:rsidR="009B5307" w:rsidRPr="009B5307" w:rsidRDefault="009B5307" w:rsidP="009B5307">
            <w:pPr>
              <w:spacing w:after="0"/>
              <w:rPr>
                <w:rFonts w:cs="Arial"/>
                <w:color w:val="auto"/>
              </w:rPr>
            </w:pPr>
          </w:p>
        </w:tc>
        <w:tc>
          <w:tcPr>
            <w:tcW w:w="1044" w:type="dxa"/>
            <w:shd w:val="clear" w:color="auto" w:fill="auto"/>
            <w:noWrap/>
            <w:vAlign w:val="bottom"/>
          </w:tcPr>
          <w:p w:rsidR="009B5307" w:rsidRPr="006F0DE9" w:rsidRDefault="009B5307" w:rsidP="009B5307">
            <w:pPr>
              <w:spacing w:after="0"/>
              <w:jc w:val="center"/>
              <w:rPr>
                <w:rFonts w:cs="Arial"/>
                <w:b/>
                <w:color w:val="auto"/>
              </w:rPr>
            </w:pPr>
            <w:r w:rsidRPr="006F0DE9">
              <w:rPr>
                <w:rFonts w:cs="Arial"/>
                <w:b/>
                <w:color w:val="auto"/>
              </w:rPr>
              <w:t>(71031)</w:t>
            </w:r>
          </w:p>
        </w:tc>
        <w:tc>
          <w:tcPr>
            <w:tcW w:w="1187" w:type="dxa"/>
            <w:vAlign w:val="bottom"/>
          </w:tcPr>
          <w:p w:rsidR="009B5307" w:rsidRPr="006F0DE9" w:rsidRDefault="009B5307" w:rsidP="009B5307">
            <w:pPr>
              <w:spacing w:after="0"/>
              <w:jc w:val="center"/>
              <w:rPr>
                <w:rFonts w:cs="Arial"/>
                <w:b/>
                <w:color w:val="auto"/>
              </w:rPr>
            </w:pPr>
            <w:r w:rsidRPr="006F0DE9">
              <w:rPr>
                <w:rFonts w:cs="Arial"/>
                <w:b/>
                <w:color w:val="auto"/>
              </w:rPr>
              <w:t>(78507)</w:t>
            </w:r>
          </w:p>
        </w:tc>
        <w:tc>
          <w:tcPr>
            <w:tcW w:w="1188" w:type="dxa"/>
            <w:vAlign w:val="bottom"/>
          </w:tcPr>
          <w:p w:rsidR="009B5307" w:rsidRPr="006F0DE9" w:rsidRDefault="009B5307" w:rsidP="009B5307">
            <w:pPr>
              <w:spacing w:after="0"/>
              <w:jc w:val="center"/>
              <w:rPr>
                <w:rFonts w:cs="Arial"/>
                <w:b/>
                <w:color w:val="auto"/>
              </w:rPr>
            </w:pPr>
            <w:r w:rsidRPr="006F0DE9">
              <w:rPr>
                <w:rFonts w:cs="Arial"/>
                <w:b/>
                <w:color w:val="auto"/>
              </w:rPr>
              <w:t>(74769)</w:t>
            </w:r>
          </w:p>
        </w:tc>
        <w:tc>
          <w:tcPr>
            <w:tcW w:w="1239" w:type="dxa"/>
            <w:gridSpan w:val="2"/>
            <w:shd w:val="clear" w:color="auto" w:fill="auto"/>
            <w:noWrap/>
            <w:vAlign w:val="bottom"/>
          </w:tcPr>
          <w:p w:rsidR="009B5307" w:rsidRPr="009B5307" w:rsidRDefault="009B5307" w:rsidP="009B5307">
            <w:pPr>
              <w:spacing w:after="0"/>
              <w:jc w:val="center"/>
              <w:rPr>
                <w:rFonts w:cs="Arial"/>
                <w:color w:val="auto"/>
              </w:rPr>
            </w:pPr>
          </w:p>
        </w:tc>
      </w:tr>
      <w:tr w:rsidR="009B5307" w:rsidRPr="009B5307" w:rsidTr="00A0569E">
        <w:trPr>
          <w:trHeight w:val="300"/>
        </w:trPr>
        <w:tc>
          <w:tcPr>
            <w:tcW w:w="2250" w:type="dxa"/>
            <w:shd w:val="clear" w:color="auto" w:fill="auto"/>
            <w:noWrap/>
            <w:vAlign w:val="bottom"/>
          </w:tcPr>
          <w:p w:rsidR="009B5307" w:rsidRPr="009B5307" w:rsidRDefault="009B5307" w:rsidP="009B5307">
            <w:pPr>
              <w:spacing w:after="0"/>
              <w:rPr>
                <w:rFonts w:cs="Arial"/>
                <w:color w:val="auto"/>
              </w:rPr>
            </w:pPr>
            <w:r w:rsidRPr="009B5307">
              <w:rPr>
                <w:rFonts w:cs="Arial"/>
                <w:color w:val="auto"/>
              </w:rPr>
              <w:t>Banbury CC</w:t>
            </w:r>
          </w:p>
        </w:tc>
        <w:tc>
          <w:tcPr>
            <w:tcW w:w="990" w:type="dxa"/>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t>85,398</w:t>
            </w:r>
          </w:p>
        </w:tc>
        <w:tc>
          <w:tcPr>
            <w:tcW w:w="1044" w:type="dxa"/>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=b4-71031 \# "0" </w:instrText>
            </w:r>
            <w:r w:rsidRPr="009B5307">
              <w:rPr>
                <w:rFonts w:cs="Arial"/>
                <w:color w:val="auto"/>
              </w:rPr>
              <w:fldChar w:fldCharType="separate"/>
            </w:r>
            <w:r w:rsidRPr="009B5307">
              <w:rPr>
                <w:rFonts w:cs="Arial"/>
                <w:noProof/>
                <w:color w:val="auto"/>
              </w:rPr>
              <w:t>14367</w:t>
            </w:r>
            <w:r w:rsidRPr="009B5307">
              <w:rPr>
                <w:rFonts w:cs="Arial"/>
                <w:color w:val="auto"/>
              </w:rPr>
              <w:fldChar w:fldCharType="end"/>
            </w:r>
          </w:p>
        </w:tc>
        <w:tc>
          <w:tcPr>
            <w:tcW w:w="1187" w:type="dxa"/>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=b4-78507 \# "0" </w:instrText>
            </w:r>
            <w:r w:rsidRPr="009B5307">
              <w:rPr>
                <w:rFonts w:cs="Arial"/>
                <w:color w:val="auto"/>
              </w:rPr>
              <w:fldChar w:fldCharType="separate"/>
            </w:r>
            <w:r w:rsidRPr="009B5307">
              <w:rPr>
                <w:rFonts w:cs="Arial"/>
                <w:noProof/>
                <w:color w:val="auto"/>
              </w:rPr>
              <w:t>6891</w:t>
            </w:r>
            <w:r w:rsidRPr="009B5307">
              <w:rPr>
                <w:rFonts w:cs="Arial"/>
                <w:color w:val="auto"/>
              </w:rPr>
              <w:fldChar w:fldCharType="end"/>
            </w:r>
          </w:p>
        </w:tc>
        <w:tc>
          <w:tcPr>
            <w:tcW w:w="1188" w:type="dxa"/>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=b4-74769 \# "0" </w:instrText>
            </w:r>
            <w:r w:rsidRPr="009B5307">
              <w:rPr>
                <w:rFonts w:cs="Arial"/>
                <w:color w:val="auto"/>
              </w:rPr>
              <w:fldChar w:fldCharType="separate"/>
            </w:r>
            <w:r w:rsidRPr="009B5307">
              <w:rPr>
                <w:rFonts w:cs="Arial"/>
                <w:noProof/>
                <w:color w:val="auto"/>
              </w:rPr>
              <w:t>10629</w:t>
            </w:r>
            <w:r w:rsidRPr="009B5307">
              <w:rPr>
                <w:rFonts w:cs="Arial"/>
                <w:color w:val="auto"/>
              </w:rPr>
              <w:fldChar w:fldCharType="end"/>
            </w:r>
          </w:p>
        </w:tc>
        <w:tc>
          <w:tcPr>
            <w:tcW w:w="1239" w:type="dxa"/>
            <w:gridSpan w:val="2"/>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t>No</w:t>
            </w:r>
          </w:p>
        </w:tc>
      </w:tr>
      <w:tr w:rsidR="009B5307" w:rsidRPr="009B5307" w:rsidTr="00A0569E">
        <w:trPr>
          <w:trHeight w:val="300"/>
        </w:trPr>
        <w:tc>
          <w:tcPr>
            <w:tcW w:w="2250" w:type="dxa"/>
            <w:shd w:val="clear" w:color="auto" w:fill="auto"/>
            <w:noWrap/>
            <w:vAlign w:val="bottom"/>
          </w:tcPr>
          <w:p w:rsidR="009B5307" w:rsidRPr="009B5307" w:rsidRDefault="009B5307" w:rsidP="009B5307">
            <w:pPr>
              <w:spacing w:after="0"/>
              <w:rPr>
                <w:rFonts w:cs="Arial"/>
                <w:color w:val="auto"/>
              </w:rPr>
            </w:pPr>
            <w:r w:rsidRPr="009B5307">
              <w:rPr>
                <w:rFonts w:cs="Arial"/>
                <w:color w:val="auto"/>
              </w:rPr>
              <w:t>Henley CC</w:t>
            </w:r>
          </w:p>
        </w:tc>
        <w:tc>
          <w:tcPr>
            <w:tcW w:w="990" w:type="dxa"/>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t>72,682</w:t>
            </w:r>
          </w:p>
        </w:tc>
        <w:tc>
          <w:tcPr>
            <w:tcW w:w="1044" w:type="dxa"/>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=b5-71031 \# "0" </w:instrText>
            </w:r>
            <w:r w:rsidRPr="009B5307">
              <w:rPr>
                <w:rFonts w:cs="Arial"/>
                <w:color w:val="auto"/>
              </w:rPr>
              <w:fldChar w:fldCharType="separate"/>
            </w:r>
            <w:r w:rsidRPr="009B5307">
              <w:rPr>
                <w:rFonts w:cs="Arial"/>
                <w:noProof/>
                <w:color w:val="auto"/>
              </w:rPr>
              <w:t>1651</w:t>
            </w:r>
            <w:r w:rsidRPr="009B5307">
              <w:rPr>
                <w:rFonts w:cs="Arial"/>
                <w:color w:val="auto"/>
              </w:rPr>
              <w:fldChar w:fldCharType="end"/>
            </w:r>
          </w:p>
        </w:tc>
        <w:tc>
          <w:tcPr>
            <w:tcW w:w="1187" w:type="dxa"/>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=b5-78507 \# "0" </w:instrText>
            </w:r>
            <w:r w:rsidRPr="009B5307">
              <w:rPr>
                <w:rFonts w:cs="Arial"/>
                <w:color w:val="auto"/>
              </w:rPr>
              <w:fldChar w:fldCharType="separate"/>
            </w:r>
            <w:r w:rsidRPr="009B5307">
              <w:rPr>
                <w:rFonts w:cs="Arial"/>
                <w:noProof/>
                <w:color w:val="auto"/>
              </w:rPr>
              <w:t>-5825</w:t>
            </w:r>
            <w:r w:rsidRPr="009B5307">
              <w:rPr>
                <w:rFonts w:cs="Arial"/>
                <w:color w:val="auto"/>
              </w:rPr>
              <w:fldChar w:fldCharType="end"/>
            </w:r>
          </w:p>
        </w:tc>
        <w:tc>
          <w:tcPr>
            <w:tcW w:w="1188" w:type="dxa"/>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=b5-74769 \# "0" </w:instrText>
            </w:r>
            <w:r w:rsidRPr="009B5307">
              <w:rPr>
                <w:rFonts w:cs="Arial"/>
                <w:color w:val="auto"/>
              </w:rPr>
              <w:fldChar w:fldCharType="separate"/>
            </w:r>
            <w:r w:rsidRPr="009B5307">
              <w:rPr>
                <w:rFonts w:cs="Arial"/>
                <w:noProof/>
                <w:color w:val="auto"/>
              </w:rPr>
              <w:t>-2087</w:t>
            </w:r>
            <w:r w:rsidRPr="009B5307">
              <w:rPr>
                <w:rFonts w:cs="Arial"/>
                <w:color w:val="auto"/>
              </w:rPr>
              <w:fldChar w:fldCharType="end"/>
            </w:r>
          </w:p>
        </w:tc>
        <w:tc>
          <w:tcPr>
            <w:tcW w:w="1239" w:type="dxa"/>
            <w:gridSpan w:val="2"/>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t>Yes</w:t>
            </w:r>
          </w:p>
        </w:tc>
      </w:tr>
      <w:tr w:rsidR="009B5307" w:rsidRPr="009B5307" w:rsidTr="00A0569E">
        <w:trPr>
          <w:trHeight w:val="300"/>
        </w:trPr>
        <w:tc>
          <w:tcPr>
            <w:tcW w:w="2250" w:type="dxa"/>
            <w:shd w:val="clear" w:color="auto" w:fill="auto"/>
            <w:noWrap/>
            <w:vAlign w:val="bottom"/>
          </w:tcPr>
          <w:p w:rsidR="009B5307" w:rsidRPr="009B5307" w:rsidRDefault="009B5307" w:rsidP="009B5307">
            <w:pPr>
              <w:spacing w:after="0"/>
              <w:rPr>
                <w:rFonts w:cs="Arial"/>
                <w:color w:val="auto"/>
              </w:rPr>
            </w:pPr>
            <w:r w:rsidRPr="009B5307">
              <w:rPr>
                <w:rFonts w:cs="Arial"/>
                <w:color w:val="auto"/>
              </w:rPr>
              <w:t>Oxford East BC</w:t>
            </w:r>
          </w:p>
        </w:tc>
        <w:tc>
          <w:tcPr>
            <w:tcW w:w="990" w:type="dxa"/>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t>70,293</w:t>
            </w:r>
          </w:p>
        </w:tc>
        <w:tc>
          <w:tcPr>
            <w:tcW w:w="1044" w:type="dxa"/>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=b6-71031 \# "0" </w:instrText>
            </w:r>
            <w:r w:rsidRPr="009B5307">
              <w:rPr>
                <w:rFonts w:cs="Arial"/>
                <w:color w:val="auto"/>
              </w:rPr>
              <w:fldChar w:fldCharType="separate"/>
            </w:r>
            <w:r w:rsidRPr="009B5307">
              <w:rPr>
                <w:rFonts w:cs="Arial"/>
                <w:noProof/>
                <w:color w:val="auto"/>
              </w:rPr>
              <w:t>-738</w:t>
            </w:r>
            <w:r w:rsidRPr="009B5307">
              <w:rPr>
                <w:rFonts w:cs="Arial"/>
                <w:color w:val="auto"/>
              </w:rPr>
              <w:fldChar w:fldCharType="end"/>
            </w:r>
          </w:p>
        </w:tc>
        <w:tc>
          <w:tcPr>
            <w:tcW w:w="1187" w:type="dxa"/>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=b6-78507 \# "0" </w:instrText>
            </w:r>
            <w:r w:rsidRPr="009B5307">
              <w:rPr>
                <w:rFonts w:cs="Arial"/>
                <w:color w:val="auto"/>
              </w:rPr>
              <w:fldChar w:fldCharType="separate"/>
            </w:r>
            <w:r w:rsidRPr="009B5307">
              <w:rPr>
                <w:rFonts w:cs="Arial"/>
                <w:noProof/>
                <w:color w:val="auto"/>
              </w:rPr>
              <w:t>-8214</w:t>
            </w:r>
            <w:r w:rsidRPr="009B5307">
              <w:rPr>
                <w:rFonts w:cs="Arial"/>
                <w:color w:val="auto"/>
              </w:rPr>
              <w:fldChar w:fldCharType="end"/>
            </w:r>
          </w:p>
        </w:tc>
        <w:tc>
          <w:tcPr>
            <w:tcW w:w="1188" w:type="dxa"/>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=b6-74769 \# "0" </w:instrText>
            </w:r>
            <w:r w:rsidRPr="009B5307">
              <w:rPr>
                <w:rFonts w:cs="Arial"/>
                <w:color w:val="auto"/>
              </w:rPr>
              <w:fldChar w:fldCharType="separate"/>
            </w:r>
            <w:r w:rsidRPr="009B5307">
              <w:rPr>
                <w:rFonts w:cs="Arial"/>
                <w:noProof/>
                <w:color w:val="auto"/>
              </w:rPr>
              <w:t>-4476</w:t>
            </w:r>
            <w:r w:rsidRPr="009B5307">
              <w:rPr>
                <w:rFonts w:cs="Arial"/>
                <w:color w:val="auto"/>
              </w:rPr>
              <w:fldChar w:fldCharType="end"/>
            </w:r>
          </w:p>
        </w:tc>
        <w:tc>
          <w:tcPr>
            <w:tcW w:w="1239" w:type="dxa"/>
            <w:gridSpan w:val="2"/>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t>No</w:t>
            </w:r>
          </w:p>
        </w:tc>
      </w:tr>
      <w:tr w:rsidR="009B5307" w:rsidRPr="009B5307" w:rsidTr="00A0569E">
        <w:trPr>
          <w:trHeight w:val="300"/>
        </w:trPr>
        <w:tc>
          <w:tcPr>
            <w:tcW w:w="2250" w:type="dxa"/>
            <w:shd w:val="clear" w:color="auto" w:fill="auto"/>
            <w:noWrap/>
            <w:vAlign w:val="bottom"/>
          </w:tcPr>
          <w:p w:rsidR="009B5307" w:rsidRPr="009B5307" w:rsidRDefault="009B5307" w:rsidP="009B5307">
            <w:pPr>
              <w:spacing w:after="0"/>
              <w:rPr>
                <w:rFonts w:cs="Arial"/>
                <w:color w:val="auto"/>
              </w:rPr>
            </w:pPr>
            <w:r w:rsidRPr="009B5307">
              <w:rPr>
                <w:rFonts w:cs="Arial"/>
                <w:color w:val="auto"/>
              </w:rPr>
              <w:t>Oxford West and Abingdon CC</w:t>
            </w:r>
          </w:p>
        </w:tc>
        <w:tc>
          <w:tcPr>
            <w:tcW w:w="990" w:type="dxa"/>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t>73,647</w:t>
            </w:r>
          </w:p>
        </w:tc>
        <w:tc>
          <w:tcPr>
            <w:tcW w:w="1044" w:type="dxa"/>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=b7-71031 \# "0" </w:instrText>
            </w:r>
            <w:r w:rsidRPr="009B5307">
              <w:rPr>
                <w:rFonts w:cs="Arial"/>
                <w:color w:val="auto"/>
              </w:rPr>
              <w:fldChar w:fldCharType="separate"/>
            </w:r>
            <w:r w:rsidRPr="009B5307">
              <w:rPr>
                <w:rFonts w:cs="Arial"/>
                <w:noProof/>
                <w:color w:val="auto"/>
              </w:rPr>
              <w:t>2616</w:t>
            </w:r>
            <w:r w:rsidRPr="009B5307">
              <w:rPr>
                <w:rFonts w:cs="Arial"/>
                <w:color w:val="auto"/>
              </w:rPr>
              <w:fldChar w:fldCharType="end"/>
            </w:r>
          </w:p>
        </w:tc>
        <w:tc>
          <w:tcPr>
            <w:tcW w:w="1187" w:type="dxa"/>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=b7-78507 \# "0" </w:instrText>
            </w:r>
            <w:r w:rsidRPr="009B5307">
              <w:rPr>
                <w:rFonts w:cs="Arial"/>
                <w:color w:val="auto"/>
              </w:rPr>
              <w:fldChar w:fldCharType="separate"/>
            </w:r>
            <w:r w:rsidRPr="009B5307">
              <w:rPr>
                <w:rFonts w:cs="Arial"/>
                <w:noProof/>
                <w:color w:val="auto"/>
              </w:rPr>
              <w:t>-4860</w:t>
            </w:r>
            <w:r w:rsidRPr="009B5307">
              <w:rPr>
                <w:rFonts w:cs="Arial"/>
                <w:color w:val="auto"/>
              </w:rPr>
              <w:fldChar w:fldCharType="end"/>
            </w:r>
          </w:p>
        </w:tc>
        <w:tc>
          <w:tcPr>
            <w:tcW w:w="1188" w:type="dxa"/>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=b7-74769 \# "0" </w:instrText>
            </w:r>
            <w:r w:rsidRPr="009B5307">
              <w:rPr>
                <w:rFonts w:cs="Arial"/>
                <w:color w:val="auto"/>
              </w:rPr>
              <w:fldChar w:fldCharType="separate"/>
            </w:r>
            <w:r w:rsidRPr="009B5307">
              <w:rPr>
                <w:rFonts w:cs="Arial"/>
                <w:noProof/>
                <w:color w:val="auto"/>
              </w:rPr>
              <w:t>-1122</w:t>
            </w:r>
            <w:r w:rsidRPr="009B5307">
              <w:rPr>
                <w:rFonts w:cs="Arial"/>
                <w:color w:val="auto"/>
              </w:rPr>
              <w:fldChar w:fldCharType="end"/>
            </w:r>
          </w:p>
        </w:tc>
        <w:tc>
          <w:tcPr>
            <w:tcW w:w="1239" w:type="dxa"/>
            <w:gridSpan w:val="2"/>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t>Yes</w:t>
            </w:r>
          </w:p>
        </w:tc>
      </w:tr>
      <w:tr w:rsidR="009B5307" w:rsidRPr="009B5307" w:rsidTr="00A0569E">
        <w:trPr>
          <w:trHeight w:val="300"/>
        </w:trPr>
        <w:tc>
          <w:tcPr>
            <w:tcW w:w="2250" w:type="dxa"/>
            <w:shd w:val="clear" w:color="auto" w:fill="auto"/>
            <w:noWrap/>
            <w:vAlign w:val="bottom"/>
          </w:tcPr>
          <w:p w:rsidR="009B5307" w:rsidRPr="009B5307" w:rsidRDefault="009B5307" w:rsidP="009B5307">
            <w:pPr>
              <w:spacing w:after="0"/>
              <w:rPr>
                <w:rFonts w:cs="Arial"/>
                <w:color w:val="auto"/>
              </w:rPr>
            </w:pPr>
            <w:proofErr w:type="spellStart"/>
            <w:r w:rsidRPr="009B5307">
              <w:rPr>
                <w:rFonts w:cs="Arial"/>
                <w:color w:val="auto"/>
              </w:rPr>
              <w:t>Wantage</w:t>
            </w:r>
            <w:proofErr w:type="spellEnd"/>
            <w:r w:rsidRPr="009B5307">
              <w:rPr>
                <w:rFonts w:cs="Arial"/>
                <w:color w:val="auto"/>
              </w:rPr>
              <w:t xml:space="preserve"> CC</w:t>
            </w:r>
          </w:p>
        </w:tc>
        <w:tc>
          <w:tcPr>
            <w:tcW w:w="990" w:type="dxa"/>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t>80,859</w:t>
            </w:r>
          </w:p>
        </w:tc>
        <w:tc>
          <w:tcPr>
            <w:tcW w:w="1044" w:type="dxa"/>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=b8-71031 \# "0" </w:instrText>
            </w:r>
            <w:r w:rsidRPr="009B5307">
              <w:rPr>
                <w:rFonts w:cs="Arial"/>
                <w:color w:val="auto"/>
              </w:rPr>
              <w:fldChar w:fldCharType="separate"/>
            </w:r>
            <w:r w:rsidRPr="009B5307">
              <w:rPr>
                <w:rFonts w:cs="Arial"/>
                <w:noProof/>
                <w:color w:val="auto"/>
              </w:rPr>
              <w:t>9828</w:t>
            </w:r>
            <w:r w:rsidRPr="009B5307">
              <w:rPr>
                <w:rFonts w:cs="Arial"/>
                <w:color w:val="auto"/>
              </w:rPr>
              <w:fldChar w:fldCharType="end"/>
            </w:r>
          </w:p>
        </w:tc>
        <w:tc>
          <w:tcPr>
            <w:tcW w:w="1187" w:type="dxa"/>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=b8-78507 \# "0" </w:instrText>
            </w:r>
            <w:r w:rsidRPr="009B5307">
              <w:rPr>
                <w:rFonts w:cs="Arial"/>
                <w:color w:val="auto"/>
              </w:rPr>
              <w:fldChar w:fldCharType="separate"/>
            </w:r>
            <w:r w:rsidRPr="009B5307">
              <w:rPr>
                <w:rFonts w:cs="Arial"/>
                <w:noProof/>
                <w:color w:val="auto"/>
              </w:rPr>
              <w:t>2352</w:t>
            </w:r>
            <w:r w:rsidRPr="009B5307">
              <w:rPr>
                <w:rFonts w:cs="Arial"/>
                <w:color w:val="auto"/>
              </w:rPr>
              <w:fldChar w:fldCharType="end"/>
            </w:r>
          </w:p>
        </w:tc>
        <w:tc>
          <w:tcPr>
            <w:tcW w:w="1188" w:type="dxa"/>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=b8-74769 \# "0" </w:instrText>
            </w:r>
            <w:r w:rsidRPr="009B5307">
              <w:rPr>
                <w:rFonts w:cs="Arial"/>
                <w:color w:val="auto"/>
              </w:rPr>
              <w:fldChar w:fldCharType="separate"/>
            </w:r>
            <w:r w:rsidRPr="009B5307">
              <w:rPr>
                <w:rFonts w:cs="Arial"/>
                <w:noProof/>
                <w:color w:val="auto"/>
              </w:rPr>
              <w:t>6090</w:t>
            </w:r>
            <w:r w:rsidRPr="009B5307">
              <w:rPr>
                <w:rFonts w:cs="Arial"/>
                <w:color w:val="auto"/>
              </w:rPr>
              <w:fldChar w:fldCharType="end"/>
            </w:r>
          </w:p>
        </w:tc>
        <w:tc>
          <w:tcPr>
            <w:tcW w:w="1239" w:type="dxa"/>
            <w:gridSpan w:val="2"/>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t>No</w:t>
            </w:r>
          </w:p>
        </w:tc>
      </w:tr>
      <w:tr w:rsidR="009B5307" w:rsidRPr="009B5307" w:rsidTr="00A0569E">
        <w:trPr>
          <w:trHeight w:val="300"/>
        </w:trPr>
        <w:tc>
          <w:tcPr>
            <w:tcW w:w="2250" w:type="dxa"/>
            <w:shd w:val="clear" w:color="auto" w:fill="auto"/>
            <w:noWrap/>
            <w:vAlign w:val="bottom"/>
          </w:tcPr>
          <w:p w:rsidR="009B5307" w:rsidRPr="009B5307" w:rsidRDefault="009B5307" w:rsidP="009B5307">
            <w:pPr>
              <w:spacing w:after="0"/>
              <w:rPr>
                <w:rFonts w:cs="Arial"/>
                <w:color w:val="auto"/>
              </w:rPr>
            </w:pPr>
            <w:r w:rsidRPr="009B5307">
              <w:rPr>
                <w:rFonts w:cs="Arial"/>
                <w:color w:val="auto"/>
              </w:rPr>
              <w:t>Witney CC</w:t>
            </w:r>
          </w:p>
        </w:tc>
        <w:tc>
          <w:tcPr>
            <w:tcW w:w="990" w:type="dxa"/>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t>78,455</w:t>
            </w:r>
          </w:p>
        </w:tc>
        <w:tc>
          <w:tcPr>
            <w:tcW w:w="1044" w:type="dxa"/>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=b9-71031 \# "0" </w:instrText>
            </w:r>
            <w:r w:rsidRPr="009B5307">
              <w:rPr>
                <w:rFonts w:cs="Arial"/>
                <w:color w:val="auto"/>
              </w:rPr>
              <w:fldChar w:fldCharType="separate"/>
            </w:r>
            <w:r w:rsidRPr="009B5307">
              <w:rPr>
                <w:rFonts w:cs="Arial"/>
                <w:noProof/>
                <w:color w:val="auto"/>
              </w:rPr>
              <w:t>7424</w:t>
            </w:r>
            <w:r w:rsidRPr="009B5307">
              <w:rPr>
                <w:rFonts w:cs="Arial"/>
                <w:color w:val="auto"/>
              </w:rPr>
              <w:fldChar w:fldCharType="end"/>
            </w:r>
          </w:p>
        </w:tc>
        <w:tc>
          <w:tcPr>
            <w:tcW w:w="1187" w:type="dxa"/>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=b9-78507 \# "0" </w:instrText>
            </w:r>
            <w:r w:rsidRPr="009B5307">
              <w:rPr>
                <w:rFonts w:cs="Arial"/>
                <w:color w:val="auto"/>
              </w:rPr>
              <w:fldChar w:fldCharType="separate"/>
            </w:r>
            <w:r w:rsidRPr="009B5307">
              <w:rPr>
                <w:rFonts w:cs="Arial"/>
                <w:noProof/>
                <w:color w:val="auto"/>
              </w:rPr>
              <w:t>-52</w:t>
            </w:r>
            <w:r w:rsidRPr="009B5307">
              <w:rPr>
                <w:rFonts w:cs="Arial"/>
                <w:color w:val="auto"/>
              </w:rPr>
              <w:fldChar w:fldCharType="end"/>
            </w:r>
          </w:p>
        </w:tc>
        <w:tc>
          <w:tcPr>
            <w:tcW w:w="1188" w:type="dxa"/>
            <w:vAlign w:val="bottom"/>
          </w:tcPr>
          <w:p w:rsidR="009B5307" w:rsidRPr="009B5307" w:rsidRDefault="009B5307" w:rsidP="009B5307">
            <w:pPr>
              <w:spacing w:after="0"/>
              <w:jc w:val="center"/>
              <w:rPr>
                <w:rFonts w:cs="Arial"/>
                <w:color w:val="auto"/>
              </w:rPr>
            </w:pPr>
            <w:r w:rsidRPr="009B5307">
              <w:rPr>
                <w:rFonts w:cs="Arial"/>
                <w:color w:val="auto"/>
              </w:rPr>
              <w:fldChar w:fldCharType="begin"/>
            </w:r>
            <w:r w:rsidRPr="009B5307">
              <w:rPr>
                <w:rFonts w:cs="Arial"/>
                <w:color w:val="auto"/>
              </w:rPr>
              <w:instrText xml:space="preserve"> =b9-74769 \# "0" </w:instrText>
            </w:r>
            <w:r w:rsidRPr="009B5307">
              <w:rPr>
                <w:rFonts w:cs="Arial"/>
                <w:color w:val="auto"/>
              </w:rPr>
              <w:fldChar w:fldCharType="separate"/>
            </w:r>
            <w:r w:rsidRPr="009B5307">
              <w:rPr>
                <w:rFonts w:cs="Arial"/>
                <w:noProof/>
                <w:color w:val="auto"/>
              </w:rPr>
              <w:t>3686</w:t>
            </w:r>
            <w:r w:rsidRPr="009B5307">
              <w:rPr>
                <w:rFonts w:cs="Arial"/>
                <w:color w:val="auto"/>
              </w:rPr>
              <w:fldChar w:fldCharType="end"/>
            </w:r>
          </w:p>
        </w:tc>
        <w:tc>
          <w:tcPr>
            <w:tcW w:w="1239" w:type="dxa"/>
            <w:gridSpan w:val="2"/>
            <w:shd w:val="clear" w:color="auto" w:fill="auto"/>
            <w:noWrap/>
            <w:vAlign w:val="bottom"/>
          </w:tcPr>
          <w:p w:rsidR="009B5307" w:rsidRPr="009B5307" w:rsidRDefault="009B5307" w:rsidP="009B5307">
            <w:pPr>
              <w:spacing w:after="0"/>
              <w:jc w:val="center"/>
              <w:rPr>
                <w:rFonts w:cs="Arial"/>
                <w:color w:val="auto"/>
              </w:rPr>
            </w:pPr>
            <w:r w:rsidRPr="009B5307">
              <w:rPr>
                <w:rFonts w:cs="Arial"/>
                <w:color w:val="auto"/>
              </w:rPr>
              <w:t>Yes</w:t>
            </w:r>
          </w:p>
        </w:tc>
      </w:tr>
    </w:tbl>
    <w:p w:rsidR="00D35F51" w:rsidRDefault="00D35F51" w:rsidP="00D35F51">
      <w:pPr>
        <w:pStyle w:val="ListParagraph"/>
        <w:numPr>
          <w:ilvl w:val="0"/>
          <w:numId w:val="0"/>
        </w:numPr>
        <w:ind w:left="360"/>
      </w:pPr>
    </w:p>
    <w:p w:rsidR="001E7696" w:rsidRPr="00C646BA" w:rsidRDefault="009B5307" w:rsidP="00D35F51">
      <w:pPr>
        <w:pStyle w:val="ListParagraph"/>
      </w:pPr>
      <w:r w:rsidRPr="009B5307">
        <w:t xml:space="preserve">As can be seen, the current Banbury, Oxford East, and </w:t>
      </w:r>
      <w:proofErr w:type="spellStart"/>
      <w:r w:rsidRPr="009B5307">
        <w:t>Wantage</w:t>
      </w:r>
      <w:proofErr w:type="spellEnd"/>
      <w:r w:rsidRPr="009B5307">
        <w:t xml:space="preserve"> constituencies all fall outside the required electorate range</w:t>
      </w:r>
      <w:r w:rsidR="001E7696" w:rsidRPr="00C646BA">
        <w:t>.</w:t>
      </w:r>
      <w:r w:rsidR="00C019CD">
        <w:t xml:space="preserve"> The </w:t>
      </w:r>
      <w:proofErr w:type="gramStart"/>
      <w:r w:rsidR="00DB6C15">
        <w:t>electorates</w:t>
      </w:r>
      <w:r w:rsidR="00C019CD">
        <w:t xml:space="preserve"> for each ward within the two constituencies</w:t>
      </w:r>
      <w:r w:rsidR="00DB6C15">
        <w:t xml:space="preserve"> within Oxford</w:t>
      </w:r>
      <w:r w:rsidR="00C019CD">
        <w:t xml:space="preserve"> is</w:t>
      </w:r>
      <w:proofErr w:type="gramEnd"/>
      <w:r w:rsidR="00C019CD">
        <w:t xml:space="preserve"> attached at Appendix 1.</w:t>
      </w:r>
    </w:p>
    <w:p w:rsidR="001E7696" w:rsidRPr="00C646BA" w:rsidRDefault="001E7696" w:rsidP="009B5307">
      <w:pPr>
        <w:numPr>
          <w:ilvl w:val="1"/>
          <w:numId w:val="0"/>
        </w:numPr>
        <w:spacing w:before="120"/>
        <w:rPr>
          <w:rFonts w:cs="Arial"/>
          <w:color w:val="auto"/>
        </w:rPr>
      </w:pPr>
    </w:p>
    <w:p w:rsidR="001E7696" w:rsidRPr="00D35F51" w:rsidRDefault="001E7696" w:rsidP="00D35F51">
      <w:pPr>
        <w:pStyle w:val="bParagraphtext"/>
      </w:pPr>
      <w:bookmarkStart w:id="4" w:name="_Ref303597732"/>
      <w:r w:rsidRPr="00D35F51">
        <w:t xml:space="preserve">The Commission’s </w:t>
      </w:r>
      <w:r w:rsidR="00F84D7C" w:rsidRPr="00D35F51">
        <w:t xml:space="preserve">report as </w:t>
      </w:r>
      <w:r w:rsidRPr="00D35F51">
        <w:t>relevant to Oxfordshire is as follows</w:t>
      </w:r>
      <w:r w:rsidR="00F84D7C" w:rsidRPr="00D35F51">
        <w:t xml:space="preserve"> (page 20 of the report)</w:t>
      </w:r>
      <w:r w:rsidRPr="00D35F51">
        <w:t>:</w:t>
      </w:r>
      <w:bookmarkEnd w:id="4"/>
    </w:p>
    <w:p w:rsidR="001E7696" w:rsidRPr="001E7696" w:rsidRDefault="001E7696" w:rsidP="00A0569E">
      <w:pPr>
        <w:autoSpaceDE w:val="0"/>
        <w:autoSpaceDN w:val="0"/>
        <w:adjustRightInd w:val="0"/>
        <w:ind w:firstLine="567"/>
        <w:rPr>
          <w:rFonts w:ascii="Gill Sans MT" w:hAnsi="Gill Sans MT"/>
          <w:i/>
          <w:iCs/>
          <w:color w:val="auto"/>
          <w:szCs w:val="27"/>
        </w:rPr>
      </w:pPr>
      <w:r w:rsidRPr="001E7696">
        <w:rPr>
          <w:rFonts w:ascii="Gill Sans MT" w:hAnsi="Gill Sans MT" w:cs="Arial"/>
          <w:color w:val="auto"/>
          <w:szCs w:val="25"/>
        </w:rPr>
        <w:t>“</w:t>
      </w:r>
      <w:r w:rsidRPr="001E7696">
        <w:rPr>
          <w:rFonts w:ascii="Gill Sans MT" w:hAnsi="Gill Sans MT" w:cs="Arial"/>
          <w:i/>
          <w:iCs/>
          <w:color w:val="auto"/>
          <w:szCs w:val="25"/>
        </w:rPr>
        <w:t xml:space="preserve">Initial proposals for the Oxfordshire </w:t>
      </w:r>
      <w:r w:rsidRPr="001E7696">
        <w:rPr>
          <w:rFonts w:ascii="Gill Sans MT" w:hAnsi="Gill Sans MT"/>
          <w:i/>
          <w:iCs/>
          <w:color w:val="auto"/>
          <w:szCs w:val="27"/>
        </w:rPr>
        <w:t>sub-region</w:t>
      </w:r>
      <w:r w:rsidR="00A60F5F">
        <w:rPr>
          <w:rFonts w:ascii="Gill Sans MT" w:hAnsi="Gill Sans MT"/>
          <w:i/>
          <w:iCs/>
          <w:color w:val="auto"/>
          <w:szCs w:val="27"/>
        </w:rPr>
        <w:t>:</w:t>
      </w:r>
    </w:p>
    <w:p w:rsidR="001E7696" w:rsidRPr="001E7696" w:rsidRDefault="001E7696" w:rsidP="001E7696">
      <w:pPr>
        <w:autoSpaceDE w:val="0"/>
        <w:autoSpaceDN w:val="0"/>
        <w:adjustRightInd w:val="0"/>
        <w:ind w:left="993" w:hanging="426"/>
        <w:rPr>
          <w:rFonts w:ascii="Gill Sans MT" w:hAnsi="Gill Sans MT" w:cs="Arial"/>
          <w:i/>
          <w:iCs/>
          <w:color w:val="auto"/>
        </w:rPr>
      </w:pPr>
      <w:r w:rsidRPr="001E7696">
        <w:rPr>
          <w:rFonts w:ascii="Gill Sans MT" w:hAnsi="Gill Sans MT" w:cs="Arial"/>
          <w:i/>
          <w:iCs/>
          <w:color w:val="auto"/>
        </w:rPr>
        <w:t xml:space="preserve">77. </w:t>
      </w:r>
      <w:r w:rsidRPr="001E7696">
        <w:rPr>
          <w:rFonts w:ascii="Gill Sans MT" w:hAnsi="Gill Sans MT"/>
          <w:i/>
          <w:color w:val="auto"/>
        </w:rPr>
        <w:t>There are currently six constituencies in the County of Oxfordshire. We are proposing no change to the number of constituencies.</w:t>
      </w:r>
    </w:p>
    <w:p w:rsidR="001E7696" w:rsidRPr="001E7696" w:rsidRDefault="001E7696" w:rsidP="001E7696">
      <w:pPr>
        <w:autoSpaceDE w:val="0"/>
        <w:autoSpaceDN w:val="0"/>
        <w:adjustRightInd w:val="0"/>
        <w:ind w:left="993" w:hanging="426"/>
        <w:rPr>
          <w:rFonts w:ascii="Gill Sans MT" w:hAnsi="Gill Sans MT" w:cs="Courier"/>
          <w:i/>
          <w:iCs/>
          <w:color w:val="auto"/>
        </w:rPr>
      </w:pPr>
      <w:r w:rsidRPr="001E7696">
        <w:rPr>
          <w:rFonts w:ascii="Gill Sans MT" w:hAnsi="Gill Sans MT" w:cs="Arial"/>
          <w:i/>
          <w:iCs/>
          <w:color w:val="auto"/>
        </w:rPr>
        <w:t xml:space="preserve">78. </w:t>
      </w:r>
      <w:r w:rsidRPr="001E7696">
        <w:rPr>
          <w:rFonts w:ascii="Gill Sans MT" w:hAnsi="Gill Sans MT"/>
          <w:i/>
          <w:color w:val="auto"/>
        </w:rPr>
        <w:t xml:space="preserve">Three of the existing constituencies (Henley, Oxford West and Abingdon, and Witney) have electorates within 5% of the electoral quota. Of the remaining three constituencies, Banbury and </w:t>
      </w:r>
      <w:proofErr w:type="spellStart"/>
      <w:r w:rsidRPr="001E7696">
        <w:rPr>
          <w:rFonts w:ascii="Gill Sans MT" w:hAnsi="Gill Sans MT"/>
          <w:i/>
          <w:color w:val="auto"/>
        </w:rPr>
        <w:t>Wantage</w:t>
      </w:r>
      <w:proofErr w:type="spellEnd"/>
      <w:r w:rsidRPr="001E7696">
        <w:rPr>
          <w:rFonts w:ascii="Gill Sans MT" w:hAnsi="Gill Sans MT"/>
          <w:i/>
          <w:color w:val="auto"/>
        </w:rPr>
        <w:t xml:space="preserve"> have electorates above the 5% limit and Oxford East is below the 5% limit</w:t>
      </w:r>
      <w:r w:rsidRPr="001E7696">
        <w:rPr>
          <w:rFonts w:ascii="Gill Sans MT" w:hAnsi="Gill Sans MT" w:cs="Courier"/>
          <w:i/>
          <w:iCs/>
          <w:color w:val="auto"/>
        </w:rPr>
        <w:t>.</w:t>
      </w:r>
    </w:p>
    <w:p w:rsidR="001E7696" w:rsidRPr="001E7696" w:rsidRDefault="001E7696" w:rsidP="001E7696">
      <w:pPr>
        <w:autoSpaceDE w:val="0"/>
        <w:autoSpaceDN w:val="0"/>
        <w:adjustRightInd w:val="0"/>
        <w:ind w:left="993" w:hanging="426"/>
        <w:rPr>
          <w:rFonts w:ascii="Gill Sans MT" w:hAnsi="Gill Sans MT"/>
          <w:i/>
          <w:iCs/>
          <w:color w:val="auto"/>
        </w:rPr>
      </w:pPr>
      <w:r w:rsidRPr="001E7696">
        <w:rPr>
          <w:rFonts w:ascii="Gill Sans MT" w:hAnsi="Gill Sans MT" w:cs="Courier"/>
          <w:i/>
          <w:iCs/>
          <w:color w:val="auto"/>
        </w:rPr>
        <w:t xml:space="preserve">79. </w:t>
      </w:r>
      <w:r w:rsidRPr="001E7696">
        <w:rPr>
          <w:rFonts w:ascii="Gill Sans MT" w:hAnsi="Gill Sans MT"/>
          <w:i/>
          <w:color w:val="auto"/>
        </w:rPr>
        <w:t>We considered whether we could leave unchanged any of the three existing constituencies that have an electorate within 5% of the electoral quota. We propose no change to the constituency of Witney.</w:t>
      </w:r>
    </w:p>
    <w:p w:rsidR="001E7696" w:rsidRPr="001E7696" w:rsidRDefault="001E7696" w:rsidP="001E7696">
      <w:pPr>
        <w:autoSpaceDE w:val="0"/>
        <w:autoSpaceDN w:val="0"/>
        <w:adjustRightInd w:val="0"/>
        <w:ind w:left="993" w:hanging="426"/>
        <w:rPr>
          <w:rFonts w:ascii="Gill Sans MT" w:hAnsi="Gill Sans MT" w:cs="Arial"/>
          <w:i/>
          <w:iCs/>
          <w:color w:val="auto"/>
        </w:rPr>
      </w:pPr>
      <w:r w:rsidRPr="001E7696">
        <w:rPr>
          <w:rFonts w:ascii="Gill Sans MT" w:hAnsi="Gill Sans MT" w:cs="Arial"/>
          <w:i/>
          <w:iCs/>
          <w:color w:val="auto"/>
        </w:rPr>
        <w:t xml:space="preserve">80. </w:t>
      </w:r>
      <w:r w:rsidRPr="001E7696">
        <w:rPr>
          <w:rFonts w:ascii="Gill Sans MT" w:hAnsi="Gill Sans MT"/>
          <w:i/>
          <w:color w:val="auto"/>
        </w:rPr>
        <w:t xml:space="preserve">To reduce the electorate of the existing Banbury constituency, which is too large, we propose to transfer the wards of </w:t>
      </w:r>
      <w:proofErr w:type="spellStart"/>
      <w:r w:rsidRPr="001E7696">
        <w:rPr>
          <w:rFonts w:ascii="Gill Sans MT" w:hAnsi="Gill Sans MT"/>
          <w:i/>
          <w:color w:val="auto"/>
        </w:rPr>
        <w:t>Fringford</w:t>
      </w:r>
      <w:proofErr w:type="spellEnd"/>
      <w:r w:rsidRPr="001E7696">
        <w:rPr>
          <w:rFonts w:ascii="Gill Sans MT" w:hAnsi="Gill Sans MT"/>
          <w:i/>
          <w:color w:val="auto"/>
        </w:rPr>
        <w:t xml:space="preserve">, </w:t>
      </w:r>
      <w:proofErr w:type="spellStart"/>
      <w:r w:rsidRPr="001E7696">
        <w:rPr>
          <w:rFonts w:ascii="Gill Sans MT" w:hAnsi="Gill Sans MT"/>
          <w:i/>
          <w:color w:val="auto"/>
        </w:rPr>
        <w:t>Launton</w:t>
      </w:r>
      <w:proofErr w:type="spellEnd"/>
      <w:r w:rsidRPr="001E7696">
        <w:rPr>
          <w:rFonts w:ascii="Gill Sans MT" w:hAnsi="Gill Sans MT"/>
          <w:i/>
          <w:color w:val="auto"/>
        </w:rPr>
        <w:t xml:space="preserve">, and </w:t>
      </w:r>
      <w:proofErr w:type="spellStart"/>
      <w:r w:rsidRPr="001E7696">
        <w:rPr>
          <w:rFonts w:ascii="Gill Sans MT" w:hAnsi="Gill Sans MT"/>
          <w:i/>
          <w:color w:val="auto"/>
        </w:rPr>
        <w:t>Ambrosden</w:t>
      </w:r>
      <w:proofErr w:type="spellEnd"/>
      <w:r w:rsidRPr="001E7696">
        <w:rPr>
          <w:rFonts w:ascii="Gill Sans MT" w:hAnsi="Gill Sans MT"/>
          <w:i/>
          <w:color w:val="auto"/>
        </w:rPr>
        <w:t xml:space="preserve"> &amp; Chesterton (located in the Borough of Cherwell) to our renamed Henley and Thame constituency. As we have altered the existing Banbury constituency, we propose to rename the constituency Banbury and Bicester to reflect the names of the two largest towns. Our proposed Henley and Thame constituency extends further north than the existing Henley constituency. It extends up to, but does not include, the town of Bicester. In the south of our Henley and Thame constituency, we propose that it includes the ward of Wallingford from the existing </w:t>
      </w:r>
      <w:proofErr w:type="spellStart"/>
      <w:r w:rsidRPr="001E7696">
        <w:rPr>
          <w:rFonts w:ascii="Gill Sans MT" w:hAnsi="Gill Sans MT"/>
          <w:i/>
          <w:color w:val="auto"/>
        </w:rPr>
        <w:t>Wantage</w:t>
      </w:r>
      <w:proofErr w:type="spellEnd"/>
      <w:r w:rsidRPr="001E7696">
        <w:rPr>
          <w:rFonts w:ascii="Gill Sans MT" w:hAnsi="Gill Sans MT"/>
          <w:i/>
          <w:color w:val="auto"/>
        </w:rPr>
        <w:t xml:space="preserve"> constituency and, to ensure the constituency remains within 5% of the electoral quota, we propose to transfer the wards of Wheatley, </w:t>
      </w:r>
      <w:proofErr w:type="spellStart"/>
      <w:r w:rsidRPr="001E7696">
        <w:rPr>
          <w:rFonts w:ascii="Gill Sans MT" w:hAnsi="Gill Sans MT"/>
          <w:i/>
          <w:color w:val="auto"/>
        </w:rPr>
        <w:t>Garsington</w:t>
      </w:r>
      <w:proofErr w:type="spellEnd"/>
      <w:r w:rsidRPr="001E7696">
        <w:rPr>
          <w:rFonts w:ascii="Gill Sans MT" w:hAnsi="Gill Sans MT"/>
          <w:i/>
          <w:color w:val="auto"/>
        </w:rPr>
        <w:t xml:space="preserve"> &amp; </w:t>
      </w:r>
      <w:proofErr w:type="spellStart"/>
      <w:r w:rsidRPr="001E7696">
        <w:rPr>
          <w:rFonts w:ascii="Gill Sans MT" w:hAnsi="Gill Sans MT"/>
          <w:i/>
          <w:color w:val="auto"/>
        </w:rPr>
        <w:t>Horspath</w:t>
      </w:r>
      <w:proofErr w:type="spellEnd"/>
      <w:r w:rsidRPr="001E7696">
        <w:rPr>
          <w:rFonts w:ascii="Gill Sans MT" w:hAnsi="Gill Sans MT"/>
          <w:i/>
          <w:color w:val="auto"/>
        </w:rPr>
        <w:t xml:space="preserve">, and </w:t>
      </w:r>
      <w:proofErr w:type="spellStart"/>
      <w:r w:rsidRPr="001E7696">
        <w:rPr>
          <w:rFonts w:ascii="Gill Sans MT" w:hAnsi="Gill Sans MT"/>
          <w:i/>
          <w:color w:val="auto"/>
        </w:rPr>
        <w:t>Sandford</w:t>
      </w:r>
      <w:proofErr w:type="spellEnd"/>
      <w:r w:rsidRPr="001E7696">
        <w:rPr>
          <w:rFonts w:ascii="Gill Sans MT" w:hAnsi="Gill Sans MT"/>
          <w:i/>
          <w:color w:val="auto"/>
        </w:rPr>
        <w:t xml:space="preserve"> &amp; </w:t>
      </w:r>
      <w:proofErr w:type="gramStart"/>
      <w:r w:rsidRPr="001E7696">
        <w:rPr>
          <w:rFonts w:ascii="Gill Sans MT" w:hAnsi="Gill Sans MT"/>
          <w:i/>
          <w:color w:val="auto"/>
        </w:rPr>
        <w:t>The</w:t>
      </w:r>
      <w:proofErr w:type="gramEnd"/>
      <w:r w:rsidRPr="001E7696">
        <w:rPr>
          <w:rFonts w:ascii="Gill Sans MT" w:hAnsi="Gill Sans MT"/>
          <w:i/>
          <w:color w:val="auto"/>
        </w:rPr>
        <w:t xml:space="preserve"> </w:t>
      </w:r>
      <w:proofErr w:type="spellStart"/>
      <w:r w:rsidRPr="001E7696">
        <w:rPr>
          <w:rFonts w:ascii="Gill Sans MT" w:hAnsi="Gill Sans MT"/>
          <w:i/>
          <w:color w:val="auto"/>
        </w:rPr>
        <w:t>Wittenhams</w:t>
      </w:r>
      <w:proofErr w:type="spellEnd"/>
      <w:r w:rsidRPr="001E7696">
        <w:rPr>
          <w:rFonts w:ascii="Gill Sans MT" w:hAnsi="Gill Sans MT"/>
          <w:i/>
          <w:color w:val="auto"/>
        </w:rPr>
        <w:t xml:space="preserve"> to our Oxford West and Abingdon constituency. The inclusion of these wards also reflects changes to the local government ward boundaries in the District of South Oxfordshire</w:t>
      </w:r>
      <w:r w:rsidRPr="001E7696">
        <w:rPr>
          <w:rFonts w:ascii="Gill Sans MT" w:hAnsi="Gill Sans MT" w:cs="Arial"/>
          <w:i/>
          <w:iCs/>
          <w:color w:val="auto"/>
        </w:rPr>
        <w:t>.</w:t>
      </w:r>
    </w:p>
    <w:p w:rsidR="001E7696" w:rsidRPr="001E7696" w:rsidRDefault="001E7696" w:rsidP="001E7696">
      <w:pPr>
        <w:autoSpaceDE w:val="0"/>
        <w:autoSpaceDN w:val="0"/>
        <w:adjustRightInd w:val="0"/>
        <w:ind w:left="993" w:hanging="426"/>
        <w:rPr>
          <w:rFonts w:ascii="Gill Sans MT" w:hAnsi="Gill Sans MT"/>
          <w:i/>
          <w:color w:val="auto"/>
        </w:rPr>
      </w:pPr>
      <w:r w:rsidRPr="001E7696">
        <w:rPr>
          <w:rFonts w:ascii="Gill Sans MT" w:hAnsi="Gill Sans MT" w:cs="Arial"/>
          <w:i/>
          <w:iCs/>
          <w:color w:val="auto"/>
        </w:rPr>
        <w:t xml:space="preserve">81. </w:t>
      </w:r>
      <w:r w:rsidRPr="001E7696">
        <w:rPr>
          <w:rFonts w:ascii="Gill Sans MT" w:hAnsi="Gill Sans MT"/>
          <w:i/>
          <w:color w:val="auto"/>
        </w:rPr>
        <w:t>The existing Oxford East constituency currently has an electorate below 5% of the electoral quota. In order to increase the number of electors in this constituency, we propose to include the wards of North and St. Margaret’s (located in the City of Oxford) in our Oxford East constituency.</w:t>
      </w:r>
    </w:p>
    <w:p w:rsidR="00DB6C15" w:rsidRPr="00D35F51" w:rsidRDefault="001E7696" w:rsidP="00D35F51">
      <w:pPr>
        <w:autoSpaceDE w:val="0"/>
        <w:autoSpaceDN w:val="0"/>
        <w:adjustRightInd w:val="0"/>
        <w:ind w:left="993" w:hanging="426"/>
        <w:rPr>
          <w:rFonts w:ascii="Gill Sans MT" w:hAnsi="Gill Sans MT"/>
          <w:b/>
          <w:bCs/>
          <w:color w:val="auto"/>
        </w:rPr>
      </w:pPr>
      <w:r w:rsidRPr="001E7696">
        <w:rPr>
          <w:rFonts w:ascii="Gill Sans MT" w:hAnsi="Gill Sans MT" w:cs="Arial"/>
          <w:i/>
          <w:iCs/>
          <w:color w:val="auto"/>
        </w:rPr>
        <w:t>82.</w:t>
      </w:r>
      <w:r w:rsidRPr="001E7696">
        <w:rPr>
          <w:rFonts w:ascii="Gill Sans MT" w:hAnsi="Gill Sans MT" w:cs="Arial"/>
          <w:i/>
          <w:color w:val="auto"/>
        </w:rPr>
        <w:t xml:space="preserve"> </w:t>
      </w:r>
      <w:r w:rsidRPr="001E7696">
        <w:rPr>
          <w:rFonts w:ascii="Gill Sans MT" w:hAnsi="Gill Sans MT"/>
          <w:i/>
          <w:color w:val="auto"/>
        </w:rPr>
        <w:t xml:space="preserve">In order to reflect changes to local government ward boundaries in the District of the Vale of White Horse, we propose that the whole of the Thames ward be included in our </w:t>
      </w:r>
      <w:proofErr w:type="spellStart"/>
      <w:r w:rsidRPr="001E7696">
        <w:rPr>
          <w:rFonts w:ascii="Gill Sans MT" w:hAnsi="Gill Sans MT"/>
          <w:i/>
          <w:color w:val="auto"/>
        </w:rPr>
        <w:t>Wantage</w:t>
      </w:r>
      <w:proofErr w:type="spellEnd"/>
      <w:r w:rsidRPr="001E7696">
        <w:rPr>
          <w:rFonts w:ascii="Gill Sans MT" w:hAnsi="Gill Sans MT"/>
          <w:i/>
          <w:color w:val="auto"/>
        </w:rPr>
        <w:t xml:space="preserve"> constituency.”</w:t>
      </w:r>
      <w:r w:rsidR="009B5307" w:rsidRPr="009B5307">
        <w:rPr>
          <w:rFonts w:ascii="Gill Sans MT" w:hAnsi="Gill Sans MT"/>
          <w:b/>
          <w:bCs/>
          <w:color w:val="auto"/>
        </w:rPr>
        <w:t xml:space="preserve"> </w:t>
      </w:r>
    </w:p>
    <w:p w:rsidR="009B5307" w:rsidRPr="009B5307" w:rsidRDefault="009B5307" w:rsidP="00855877">
      <w:pPr>
        <w:pStyle w:val="ReportPara"/>
        <w:numPr>
          <w:ilvl w:val="0"/>
          <w:numId w:val="0"/>
        </w:numPr>
        <w:rPr>
          <w:rFonts w:ascii="Arial" w:hAnsi="Arial" w:cs="Arial"/>
          <w:sz w:val="20"/>
        </w:rPr>
      </w:pPr>
    </w:p>
    <w:p w:rsidR="00E87F7A" w:rsidRDefault="00A16009" w:rsidP="00E87F7A">
      <w:pPr>
        <w:spacing w:before="240"/>
        <w:outlineLvl w:val="0"/>
        <w:rPr>
          <w:b/>
        </w:rPr>
      </w:pPr>
      <w:r>
        <w:rPr>
          <w:b/>
        </w:rPr>
        <w:t>Consultation with party groups</w:t>
      </w:r>
    </w:p>
    <w:p w:rsidR="008E4CD0" w:rsidRDefault="00A16009" w:rsidP="00D35F51">
      <w:pPr>
        <w:pStyle w:val="bParagraphtext"/>
      </w:pPr>
      <w:r w:rsidRPr="00A16009">
        <w:t>The three party groups on th</w:t>
      </w:r>
      <w:r w:rsidR="00075702">
        <w:t>e</w:t>
      </w:r>
      <w:r w:rsidRPr="00A16009">
        <w:t xml:space="preserve"> Council have been asked to submit their comments</w:t>
      </w:r>
      <w:r w:rsidR="00075702">
        <w:t xml:space="preserve"> on the BCE’s proposals. These are summarised </w:t>
      </w:r>
      <w:r w:rsidR="001A4569">
        <w:t>in Appendix 2</w:t>
      </w:r>
    </w:p>
    <w:p w:rsidR="00D35F51" w:rsidRDefault="00D35F51" w:rsidP="00D35F51">
      <w:pPr>
        <w:spacing w:before="240"/>
        <w:ind w:left="720"/>
        <w:outlineLvl w:val="0"/>
      </w:pPr>
    </w:p>
    <w:p w:rsidR="00C646BA" w:rsidRDefault="00C646BA" w:rsidP="003E3921">
      <w:pPr>
        <w:pStyle w:val="Heading1"/>
      </w:pPr>
      <w:r>
        <w:lastRenderedPageBreak/>
        <w:t>The effect of Individual Electoral Registration</w:t>
      </w:r>
      <w:r w:rsidR="007F2A47">
        <w:t xml:space="preserve"> (IER)</w:t>
      </w:r>
      <w:r>
        <w:t xml:space="preserve"> on electorate</w:t>
      </w:r>
      <w:r w:rsidR="003E3921">
        <w:t>s</w:t>
      </w:r>
    </w:p>
    <w:p w:rsidR="00D36230" w:rsidRDefault="00C646BA" w:rsidP="00D35F51">
      <w:pPr>
        <w:pStyle w:val="bParagraphtext"/>
      </w:pPr>
      <w:r>
        <w:t>The BCE’s</w:t>
      </w:r>
      <w:r w:rsidR="00C23C73">
        <w:t xml:space="preserve"> review is based on electorates as at </w:t>
      </w:r>
      <w:r w:rsidR="003E3921">
        <w:t>1st December 2015. The issue for Oxford, and other urban areas, is that the electorates on first publishing are not a reflection of the actual people who wish to vote come an electoral event</w:t>
      </w:r>
      <w:r w:rsidR="007F2A47">
        <w:t>. So electorates are depressed on 1st December but boun</w:t>
      </w:r>
      <w:r w:rsidR="00C26E65">
        <w:t>ce back by the time an election</w:t>
      </w:r>
      <w:r w:rsidR="007F2A47">
        <w:t xml:space="preserve"> takes place in May</w:t>
      </w:r>
      <w:r w:rsidR="004D4A28">
        <w:t xml:space="preserve"> or June</w:t>
      </w:r>
      <w:r w:rsidR="007F2A47">
        <w:t xml:space="preserve"> the following year. </w:t>
      </w:r>
    </w:p>
    <w:p w:rsidR="00C646BA" w:rsidRDefault="007F2A47" w:rsidP="00D35F51">
      <w:pPr>
        <w:pStyle w:val="bParagraphtext"/>
      </w:pPr>
      <w:r>
        <w:t>The table below shows the differences for the l</w:t>
      </w:r>
      <w:r w:rsidR="00AF6509">
        <w:t>ast three</w:t>
      </w:r>
      <w:r>
        <w:t xml:space="preserve"> registers</w:t>
      </w:r>
      <w:r w:rsidR="00A76639">
        <w:t xml:space="preserve"> for the current boundaries of the two constituencies</w:t>
      </w:r>
      <w:r w:rsidR="00877614">
        <w:t xml:space="preserve"> and</w:t>
      </w:r>
      <w:r w:rsidR="004D4A28">
        <w:t>,</w:t>
      </w:r>
      <w:r w:rsidR="00877614">
        <w:t xml:space="preserve"> in brackets</w:t>
      </w:r>
      <w:r w:rsidR="004D4A28">
        <w:t>,</w:t>
      </w:r>
      <w:r w:rsidR="00877614">
        <w:t xml:space="preserve"> the proposed constituencies</w:t>
      </w:r>
      <w:r>
        <w:t>.</w:t>
      </w:r>
    </w:p>
    <w:tbl>
      <w:tblPr>
        <w:tblStyle w:val="TableGrid"/>
        <w:tblpPr w:leftFromText="180" w:rightFromText="180" w:vertAnchor="text" w:horzAnchor="margin" w:tblpXSpec="center" w:tblpY="324"/>
        <w:tblW w:w="0" w:type="auto"/>
        <w:tblLook w:val="04A0" w:firstRow="1" w:lastRow="0" w:firstColumn="1" w:lastColumn="0" w:noHBand="0" w:noVBand="1"/>
      </w:tblPr>
      <w:tblGrid>
        <w:gridCol w:w="3686"/>
        <w:gridCol w:w="1843"/>
        <w:gridCol w:w="1842"/>
      </w:tblGrid>
      <w:tr w:rsidR="00DB6C15" w:rsidTr="00DB6C15">
        <w:tc>
          <w:tcPr>
            <w:tcW w:w="3686" w:type="dxa"/>
            <w:shd w:val="pct15" w:color="auto" w:fill="auto"/>
          </w:tcPr>
          <w:p w:rsidR="00DB6C15" w:rsidRDefault="00DB6C15" w:rsidP="00DB6C15">
            <w:pPr>
              <w:ind w:left="142"/>
            </w:pPr>
          </w:p>
        </w:tc>
        <w:tc>
          <w:tcPr>
            <w:tcW w:w="1843" w:type="dxa"/>
            <w:shd w:val="pct15" w:color="auto" w:fill="auto"/>
          </w:tcPr>
          <w:p w:rsidR="00DB6C15" w:rsidRDefault="00DB6C15" w:rsidP="00DB6C15">
            <w:pPr>
              <w:ind w:left="142"/>
              <w:jc w:val="center"/>
            </w:pPr>
            <w:r>
              <w:t>Oxford East</w:t>
            </w:r>
          </w:p>
        </w:tc>
        <w:tc>
          <w:tcPr>
            <w:tcW w:w="1842" w:type="dxa"/>
            <w:shd w:val="pct15" w:color="auto" w:fill="auto"/>
          </w:tcPr>
          <w:p w:rsidR="00DB6C15" w:rsidRDefault="00DB6C15" w:rsidP="00DB6C15">
            <w:pPr>
              <w:ind w:left="142"/>
              <w:jc w:val="center"/>
            </w:pPr>
            <w:r>
              <w:t>Oxford West and Abingdon (Oxford part)</w:t>
            </w:r>
          </w:p>
        </w:tc>
      </w:tr>
      <w:tr w:rsidR="00DB6C15" w:rsidTr="00DB6C15">
        <w:tc>
          <w:tcPr>
            <w:tcW w:w="3686" w:type="dxa"/>
          </w:tcPr>
          <w:p w:rsidR="00DB6C15" w:rsidRDefault="00DB6C15" w:rsidP="00DB6C15">
            <w:pPr>
              <w:ind w:left="142"/>
            </w:pPr>
            <w:r>
              <w:t>1st December 2013 - pre-IER</w:t>
            </w:r>
          </w:p>
        </w:tc>
        <w:tc>
          <w:tcPr>
            <w:tcW w:w="1843" w:type="dxa"/>
          </w:tcPr>
          <w:p w:rsidR="00DB6C15" w:rsidRDefault="00DB6C15" w:rsidP="00DB6C15">
            <w:pPr>
              <w:ind w:left="142"/>
              <w:jc w:val="right"/>
            </w:pPr>
            <w:r>
              <w:t>80,345</w:t>
            </w:r>
          </w:p>
        </w:tc>
        <w:tc>
          <w:tcPr>
            <w:tcW w:w="1842" w:type="dxa"/>
          </w:tcPr>
          <w:p w:rsidR="00DB6C15" w:rsidRDefault="00DB6C15" w:rsidP="00DB6C15">
            <w:pPr>
              <w:ind w:left="142"/>
              <w:jc w:val="right"/>
            </w:pPr>
            <w:r>
              <w:t>21,036</w:t>
            </w:r>
          </w:p>
        </w:tc>
      </w:tr>
      <w:tr w:rsidR="00DB6C15" w:rsidTr="00DB6C15">
        <w:tc>
          <w:tcPr>
            <w:tcW w:w="3686" w:type="dxa"/>
          </w:tcPr>
          <w:p w:rsidR="00DB6C15" w:rsidRDefault="00DB6C15" w:rsidP="00DB6C15">
            <w:pPr>
              <w:ind w:left="142"/>
            </w:pPr>
            <w:r>
              <w:t>1st December 2014 - first register post-IER</w:t>
            </w:r>
          </w:p>
        </w:tc>
        <w:tc>
          <w:tcPr>
            <w:tcW w:w="1843" w:type="dxa"/>
          </w:tcPr>
          <w:p w:rsidR="00DB6C15" w:rsidRDefault="00DB6C15" w:rsidP="00DB6C15">
            <w:pPr>
              <w:ind w:left="142"/>
              <w:jc w:val="right"/>
            </w:pPr>
            <w:r>
              <w:t>72,825</w:t>
            </w:r>
          </w:p>
        </w:tc>
        <w:tc>
          <w:tcPr>
            <w:tcW w:w="1842" w:type="dxa"/>
          </w:tcPr>
          <w:p w:rsidR="00DB6C15" w:rsidRDefault="00DB6C15" w:rsidP="00DB6C15">
            <w:pPr>
              <w:ind w:left="142"/>
              <w:jc w:val="right"/>
            </w:pPr>
            <w:r>
              <w:t>18,858</w:t>
            </w:r>
          </w:p>
        </w:tc>
      </w:tr>
      <w:tr w:rsidR="00DB6C15" w:rsidTr="00DB6C15">
        <w:tc>
          <w:tcPr>
            <w:tcW w:w="3686" w:type="dxa"/>
          </w:tcPr>
          <w:p w:rsidR="00DB6C15" w:rsidRDefault="00DB6C15" w:rsidP="00DB6C15">
            <w:pPr>
              <w:ind w:left="142"/>
            </w:pPr>
            <w:r>
              <w:t>The following May General Election</w:t>
            </w:r>
          </w:p>
        </w:tc>
        <w:tc>
          <w:tcPr>
            <w:tcW w:w="1843" w:type="dxa"/>
          </w:tcPr>
          <w:p w:rsidR="00DB6C15" w:rsidRDefault="00DB6C15" w:rsidP="00DB6C15">
            <w:pPr>
              <w:ind w:left="142"/>
              <w:jc w:val="right"/>
            </w:pPr>
            <w:r>
              <w:t>79,506 (86,594)</w:t>
            </w:r>
          </w:p>
        </w:tc>
        <w:tc>
          <w:tcPr>
            <w:tcW w:w="1842" w:type="dxa"/>
          </w:tcPr>
          <w:p w:rsidR="00DB6C15" w:rsidRDefault="00DB6C15" w:rsidP="00DB6C15">
            <w:pPr>
              <w:ind w:left="142"/>
              <w:jc w:val="right"/>
            </w:pPr>
            <w:r>
              <w:t>20,780 (13,692)</w:t>
            </w:r>
          </w:p>
        </w:tc>
      </w:tr>
      <w:tr w:rsidR="00DB6C15" w:rsidTr="00DB6C15">
        <w:tc>
          <w:tcPr>
            <w:tcW w:w="3686" w:type="dxa"/>
          </w:tcPr>
          <w:p w:rsidR="00DB6C15" w:rsidRDefault="00DB6C15" w:rsidP="00DB6C15">
            <w:pPr>
              <w:ind w:left="142"/>
            </w:pPr>
            <w:r>
              <w:t>1st December 2015</w:t>
            </w:r>
          </w:p>
        </w:tc>
        <w:tc>
          <w:tcPr>
            <w:tcW w:w="1843" w:type="dxa"/>
          </w:tcPr>
          <w:p w:rsidR="00DB6C15" w:rsidRDefault="00DB6C15" w:rsidP="00DB6C15">
            <w:pPr>
              <w:ind w:left="142"/>
              <w:jc w:val="right"/>
            </w:pPr>
            <w:r>
              <w:t>70,293 (76,194)</w:t>
            </w:r>
          </w:p>
        </w:tc>
        <w:tc>
          <w:tcPr>
            <w:tcW w:w="1842" w:type="dxa"/>
          </w:tcPr>
          <w:p w:rsidR="00DB6C15" w:rsidRDefault="00DB6C15" w:rsidP="00DB6C15">
            <w:pPr>
              <w:ind w:left="142"/>
              <w:jc w:val="right"/>
            </w:pPr>
            <w:r>
              <w:t>18,431 (12,518)</w:t>
            </w:r>
          </w:p>
        </w:tc>
      </w:tr>
      <w:tr w:rsidR="00DB6C15" w:rsidTr="00DB6C15">
        <w:tc>
          <w:tcPr>
            <w:tcW w:w="3686" w:type="dxa"/>
          </w:tcPr>
          <w:p w:rsidR="00DB6C15" w:rsidRDefault="00DB6C15" w:rsidP="00DB6C15">
            <w:pPr>
              <w:ind w:left="142"/>
            </w:pPr>
            <w:r>
              <w:t>The following June EU Referendum</w:t>
            </w:r>
          </w:p>
        </w:tc>
        <w:tc>
          <w:tcPr>
            <w:tcW w:w="1843" w:type="dxa"/>
          </w:tcPr>
          <w:p w:rsidR="00DB6C15" w:rsidRDefault="00DB6C15" w:rsidP="00DB6C15">
            <w:pPr>
              <w:ind w:left="142"/>
              <w:jc w:val="right"/>
            </w:pPr>
            <w:r>
              <w:t>76,841 (83,736)</w:t>
            </w:r>
          </w:p>
        </w:tc>
        <w:tc>
          <w:tcPr>
            <w:tcW w:w="1842" w:type="dxa"/>
          </w:tcPr>
          <w:p w:rsidR="00DB6C15" w:rsidRDefault="00DB6C15" w:rsidP="00DB6C15">
            <w:pPr>
              <w:ind w:left="142"/>
              <w:jc w:val="right"/>
            </w:pPr>
            <w:r>
              <w:t>20,240 (13,345)</w:t>
            </w:r>
          </w:p>
        </w:tc>
      </w:tr>
    </w:tbl>
    <w:p w:rsidR="00D74106" w:rsidRDefault="00D74106" w:rsidP="00C646BA"/>
    <w:p w:rsidR="00D74106" w:rsidRDefault="00D74106" w:rsidP="00C646BA"/>
    <w:p w:rsidR="0005792C" w:rsidRPr="0005792C" w:rsidRDefault="002329CF" w:rsidP="0005792C">
      <w:pPr>
        <w:pStyle w:val="Heading1"/>
      </w:pPr>
      <w:r w:rsidRPr="001356F1">
        <w:t xml:space="preserve">Financial </w:t>
      </w:r>
      <w:r w:rsidR="000B1ABD">
        <w:t>&amp; Legal I</w:t>
      </w:r>
      <w:r w:rsidRPr="001356F1">
        <w:t>mplications</w:t>
      </w:r>
    </w:p>
    <w:p w:rsidR="00591683" w:rsidRDefault="006561BE" w:rsidP="00D35F51">
      <w:pPr>
        <w:pStyle w:val="bParagraphtext"/>
      </w:pPr>
      <w:r>
        <w:t>There are no financial or legal implications</w:t>
      </w:r>
      <w:r w:rsidRPr="001356F1">
        <w:t>.</w:t>
      </w:r>
    </w:p>
    <w:p w:rsidR="0005792C" w:rsidRDefault="0005792C" w:rsidP="0005792C">
      <w:pPr>
        <w:tabs>
          <w:tab w:val="left" w:pos="709"/>
        </w:tabs>
      </w:pPr>
    </w:p>
    <w:p w:rsidR="0005792C" w:rsidRDefault="0005792C" w:rsidP="0005792C">
      <w:r>
        <w:rPr>
          <w:b/>
        </w:rPr>
        <w:t>Risk Register</w:t>
      </w:r>
    </w:p>
    <w:p w:rsidR="008D7D00" w:rsidRDefault="0005792C" w:rsidP="00D35F51">
      <w:pPr>
        <w:pStyle w:val="bParagraphtext"/>
      </w:pPr>
      <w:r>
        <w:t xml:space="preserve">The risk register is attached as Appendix </w:t>
      </w:r>
      <w:r w:rsidR="001A4569">
        <w:t>3</w:t>
      </w:r>
      <w:r>
        <w:t>.</w:t>
      </w:r>
    </w:p>
    <w:p w:rsidR="000B1ABD" w:rsidRPr="001356F1" w:rsidRDefault="000B1ABD" w:rsidP="0005792C"/>
    <w:p w:rsidR="006561BE" w:rsidRPr="007604DE" w:rsidRDefault="006561BE" w:rsidP="006561BE">
      <w:pPr>
        <w:rPr>
          <w:b/>
        </w:rPr>
      </w:pPr>
      <w:r w:rsidRPr="007604DE">
        <w:rPr>
          <w:b/>
        </w:rPr>
        <w:t xml:space="preserve">What happens </w:t>
      </w:r>
      <w:proofErr w:type="gramStart"/>
      <w:r w:rsidRPr="007604DE">
        <w:rPr>
          <w:b/>
        </w:rPr>
        <w:t>next</w:t>
      </w:r>
      <w:proofErr w:type="gramEnd"/>
    </w:p>
    <w:p w:rsidR="00D35F51" w:rsidRDefault="006561BE" w:rsidP="00D35F51">
      <w:pPr>
        <w:pStyle w:val="bParagraphtext"/>
      </w:pPr>
      <w:r>
        <w:t xml:space="preserve">After the current </w:t>
      </w:r>
      <w:r w:rsidR="00F76C83">
        <w:t>consultation</w:t>
      </w:r>
      <w:r>
        <w:t xml:space="preserve"> phase finishes on 5th December</w:t>
      </w:r>
      <w:r w:rsidR="00F76C83">
        <w:t xml:space="preserve"> the BCE will publish all comments. This will mark the start of a secondary consultation period, likely to take place in spring 2017. BCE </w:t>
      </w:r>
      <w:r w:rsidR="007B1724">
        <w:t xml:space="preserve">will subsequently </w:t>
      </w:r>
      <w:r w:rsidR="00F76C83">
        <w:t xml:space="preserve">publish </w:t>
      </w:r>
      <w:r w:rsidR="00F17364">
        <w:t>its revised proposals</w:t>
      </w:r>
      <w:r w:rsidR="00F76C83">
        <w:t>. A further</w:t>
      </w:r>
      <w:r w:rsidR="00F17364">
        <w:t xml:space="preserve"> eight-week</w:t>
      </w:r>
      <w:r w:rsidR="00F76C83">
        <w:t xml:space="preserve"> per</w:t>
      </w:r>
      <w:r w:rsidR="00F17364">
        <w:t xml:space="preserve">iod of consultation will begin. </w:t>
      </w:r>
    </w:p>
    <w:p w:rsidR="007604DE" w:rsidRDefault="00F17364" w:rsidP="00D35F51">
      <w:pPr>
        <w:pStyle w:val="bParagraphtext"/>
      </w:pPr>
      <w:r>
        <w:t xml:space="preserve">The BCE will then publish its final recommendations which will be considered by Parliament. The legislation states that the BCE must report to Parliament </w:t>
      </w:r>
      <w:r w:rsidR="007604DE">
        <w:t>in September 2018.</w:t>
      </w:r>
    </w:p>
    <w:p w:rsidR="002329CF" w:rsidRDefault="002329CF" w:rsidP="004A6D2F"/>
    <w:p w:rsidR="00D35F51" w:rsidRDefault="00D35F51" w:rsidP="004A6D2F"/>
    <w:p w:rsidR="00D35F51" w:rsidRDefault="00D35F51" w:rsidP="004A6D2F"/>
    <w:p w:rsidR="00D35F51" w:rsidRPr="001356F1" w:rsidRDefault="00D35F51"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903D3E" w:rsidP="00A46E98">
            <w:r>
              <w:t>Martin John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8686F" w:rsidP="00A46E98">
            <w:r>
              <w:t>Electoral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8686F"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8686F">
            <w:r w:rsidRPr="001356F1">
              <w:t>01865</w:t>
            </w:r>
            <w:r w:rsidR="0078686F">
              <w:t xml:space="preserve"> 252518</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78686F" w:rsidP="00A46E98">
            <w:pPr>
              <w:rPr>
                <w:rStyle w:val="Hyperlink"/>
                <w:color w:val="000000"/>
              </w:rPr>
            </w:pPr>
            <w:r>
              <w:rPr>
                <w:rStyle w:val="Hyperlink"/>
                <w:color w:val="000000"/>
              </w:rPr>
              <w:t>mjohn@oxford.gov.uk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C646BA">
        <w:tc>
          <w:tcPr>
            <w:tcW w:w="8931" w:type="dxa"/>
            <w:tcBorders>
              <w:top w:val="single" w:sz="4" w:space="0" w:color="auto"/>
              <w:left w:val="single" w:sz="4" w:space="0" w:color="auto"/>
              <w:bottom w:val="single" w:sz="8" w:space="0" w:color="000000"/>
              <w:right w:val="single" w:sz="4" w:space="0" w:color="auto"/>
            </w:tcBorders>
            <w:shd w:val="clear" w:color="auto" w:fill="auto"/>
          </w:tcPr>
          <w:p w:rsidR="002E28EF" w:rsidRDefault="00182B81" w:rsidP="00F41AC1">
            <w:r w:rsidRPr="001356F1">
              <w:rPr>
                <w:rStyle w:val="Firstpagetablebold"/>
              </w:rPr>
              <w:t xml:space="preserve">Background Papers: </w:t>
            </w:r>
            <w:r w:rsidR="003161C0">
              <w:t>BCE Guide to the 2018 Review</w:t>
            </w:r>
            <w:r w:rsidR="00091EAA">
              <w:t xml:space="preserve"> </w:t>
            </w:r>
          </w:p>
          <w:p w:rsidR="002E28EF" w:rsidRDefault="002E28EF" w:rsidP="00F41AC1">
            <w:r>
              <w:t xml:space="preserve">Review generally: </w:t>
            </w:r>
            <w:hyperlink r:id="rId12" w:history="1">
              <w:r w:rsidRPr="003E24E2">
                <w:rPr>
                  <w:rStyle w:val="Hyperlink"/>
                  <w:rFonts w:cs="Arial"/>
                </w:rPr>
                <w:t>www.independent.gov.uk/boundarycommissionforengland</w:t>
              </w:r>
            </w:hyperlink>
            <w:r>
              <w:rPr>
                <w:rFonts w:cs="Arial"/>
              </w:rPr>
              <w:t xml:space="preserve"> </w:t>
            </w:r>
          </w:p>
          <w:p w:rsidR="0093067A" w:rsidRPr="001356F1" w:rsidRDefault="002E28EF" w:rsidP="00F41AC1">
            <w:r>
              <w:t>The South-east Proposals specifically:</w:t>
            </w:r>
            <w:r w:rsidR="00091EAA">
              <w:t xml:space="preserve"> </w:t>
            </w:r>
            <w:hyperlink r:id="rId13" w:history="1">
              <w:r w:rsidR="00091EAA" w:rsidRPr="003E24E2">
                <w:rPr>
                  <w:rStyle w:val="Hyperlink"/>
                </w:rPr>
                <w:t>https://www.bce2018.org.uk/node/6488</w:t>
              </w:r>
            </w:hyperlink>
            <w:r w:rsidR="00091EAA">
              <w:t xml:space="preserve"> </w:t>
            </w:r>
          </w:p>
        </w:tc>
      </w:tr>
    </w:tbl>
    <w:p w:rsidR="00CE4C87" w:rsidRDefault="00CE4C87" w:rsidP="0093067A"/>
    <w:p w:rsidR="0054712D" w:rsidRPr="0054712D" w:rsidRDefault="0054712D" w:rsidP="00C85B4E">
      <w:pPr>
        <w:rPr>
          <w:b/>
        </w:rPr>
      </w:pPr>
      <w:r w:rsidRPr="0054712D">
        <w:rPr>
          <w:b/>
        </w:rPr>
        <w:t xml:space="preserve">Please note in the table </w:t>
      </w:r>
      <w:r w:rsidR="00C85B4E">
        <w:rPr>
          <w:b/>
        </w:rPr>
        <w:t xml:space="preserve">below </w:t>
      </w:r>
      <w:r w:rsidRPr="0054712D">
        <w:rPr>
          <w:b/>
        </w:rPr>
        <w:t xml:space="preserve">the version number of your report that was </w:t>
      </w:r>
      <w:r w:rsidR="00C85B4E">
        <w:rPr>
          <w:b/>
        </w:rPr>
        <w:t xml:space="preserve">finally </w:t>
      </w:r>
      <w:r w:rsidRPr="0054712D">
        <w:rPr>
          <w:b/>
        </w:rPr>
        <w:t>cleared</w:t>
      </w:r>
      <w:r w:rsidR="00C85B4E">
        <w:rPr>
          <w:b/>
        </w:rPr>
        <w:t xml:space="preserve"> </w:t>
      </w:r>
      <w:r w:rsidRPr="0054712D">
        <w:rPr>
          <w:b/>
        </w:rPr>
        <w:t>at each stage</w:t>
      </w:r>
    </w:p>
    <w:p w:rsidR="0054712D" w:rsidRDefault="0054712D" w:rsidP="0093067A"/>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2"/>
        <w:gridCol w:w="2551"/>
      </w:tblGrid>
      <w:tr w:rsidR="004456DD" w:rsidTr="0080749A">
        <w:trPr>
          <w:trHeight w:val="409"/>
        </w:trPr>
        <w:tc>
          <w:tcPr>
            <w:tcW w:w="5342" w:type="dxa"/>
            <w:shd w:val="clear" w:color="auto" w:fill="auto"/>
          </w:tcPr>
          <w:p w:rsidR="004456DD" w:rsidRPr="00E12C99" w:rsidRDefault="004456DD" w:rsidP="00A21B12">
            <w:pPr>
              <w:rPr>
                <w:b/>
              </w:rPr>
            </w:pPr>
            <w:r w:rsidRPr="00E12C99">
              <w:rPr>
                <w:b/>
              </w:rPr>
              <w:t>Report Stage</w:t>
            </w:r>
          </w:p>
        </w:tc>
        <w:tc>
          <w:tcPr>
            <w:tcW w:w="2551" w:type="dxa"/>
            <w:shd w:val="clear" w:color="auto" w:fill="auto"/>
          </w:tcPr>
          <w:p w:rsidR="004456DD" w:rsidRPr="0080749A" w:rsidRDefault="004456DD" w:rsidP="00A21B12">
            <w:pPr>
              <w:rPr>
                <w:b/>
              </w:rPr>
            </w:pPr>
            <w:r w:rsidRPr="00E12C99">
              <w:rPr>
                <w:b/>
              </w:rPr>
              <w:t>Version</w:t>
            </w:r>
            <w:r w:rsidR="0080749A">
              <w:rPr>
                <w:b/>
              </w:rPr>
              <w:t xml:space="preserve"> </w:t>
            </w:r>
            <w:r w:rsidRPr="00E12C99">
              <w:rPr>
                <w:b/>
              </w:rPr>
              <w:t>Number</w:t>
            </w:r>
          </w:p>
        </w:tc>
      </w:tr>
      <w:tr w:rsidR="004456DD" w:rsidTr="0080749A">
        <w:tc>
          <w:tcPr>
            <w:tcW w:w="5342" w:type="dxa"/>
            <w:shd w:val="clear" w:color="auto" w:fill="auto"/>
          </w:tcPr>
          <w:p w:rsidR="00C85B4E" w:rsidRDefault="004456DD" w:rsidP="00A21B12">
            <w:r w:rsidRPr="00E12C99">
              <w:rPr>
                <w:b/>
              </w:rPr>
              <w:t>First Draft:</w:t>
            </w:r>
            <w:r>
              <w:t xml:space="preserve"> </w:t>
            </w:r>
          </w:p>
          <w:p w:rsidR="004456DD" w:rsidRDefault="004456DD" w:rsidP="00A21B12">
            <w:r w:rsidRPr="00E12C99">
              <w:rPr>
                <w:i/>
              </w:rPr>
              <w:t>Commissioned and cleared by Director</w:t>
            </w:r>
          </w:p>
        </w:tc>
        <w:tc>
          <w:tcPr>
            <w:tcW w:w="2551" w:type="dxa"/>
            <w:shd w:val="clear" w:color="auto" w:fill="auto"/>
          </w:tcPr>
          <w:p w:rsidR="004456DD" w:rsidRDefault="004D4A28" w:rsidP="00A21B12">
            <w:r>
              <w:t>5/10</w:t>
            </w:r>
          </w:p>
        </w:tc>
      </w:tr>
      <w:tr w:rsidR="004456DD" w:rsidTr="0080749A">
        <w:tc>
          <w:tcPr>
            <w:tcW w:w="5342" w:type="dxa"/>
            <w:shd w:val="clear" w:color="auto" w:fill="auto"/>
          </w:tcPr>
          <w:p w:rsidR="004456DD" w:rsidRPr="00E12C99" w:rsidRDefault="004456DD" w:rsidP="00A21B12">
            <w:pPr>
              <w:rPr>
                <w:b/>
              </w:rPr>
            </w:pPr>
            <w:r w:rsidRPr="00E12C99">
              <w:rPr>
                <w:b/>
              </w:rPr>
              <w:t>Second Draft:</w:t>
            </w:r>
          </w:p>
          <w:p w:rsidR="004456DD" w:rsidRPr="00E12C99" w:rsidRDefault="004456DD" w:rsidP="00A21B12">
            <w:pPr>
              <w:rPr>
                <w:i/>
              </w:rPr>
            </w:pPr>
            <w:r w:rsidRPr="00E12C99">
              <w:rPr>
                <w:i/>
              </w:rPr>
              <w:t>Cleared by Legal and Finance</w:t>
            </w:r>
          </w:p>
        </w:tc>
        <w:tc>
          <w:tcPr>
            <w:tcW w:w="2551" w:type="dxa"/>
            <w:shd w:val="clear" w:color="auto" w:fill="auto"/>
          </w:tcPr>
          <w:p w:rsidR="004456DD" w:rsidRDefault="00C90CAE" w:rsidP="00A21B12">
            <w:r>
              <w:t>6/10</w:t>
            </w:r>
          </w:p>
        </w:tc>
      </w:tr>
      <w:tr w:rsidR="004456DD" w:rsidTr="0080749A">
        <w:tc>
          <w:tcPr>
            <w:tcW w:w="5342" w:type="dxa"/>
            <w:shd w:val="clear" w:color="auto" w:fill="auto"/>
          </w:tcPr>
          <w:p w:rsidR="004456DD" w:rsidRPr="00E12C99" w:rsidRDefault="004456DD" w:rsidP="00A21B12">
            <w:pPr>
              <w:rPr>
                <w:b/>
              </w:rPr>
            </w:pPr>
            <w:r w:rsidRPr="00E12C99">
              <w:rPr>
                <w:b/>
              </w:rPr>
              <w:t>Organisational Draft:</w:t>
            </w:r>
          </w:p>
          <w:p w:rsidR="004456DD" w:rsidRPr="00E12C99" w:rsidRDefault="004456DD" w:rsidP="00A21B12">
            <w:pPr>
              <w:rPr>
                <w:i/>
              </w:rPr>
            </w:pPr>
            <w:r w:rsidRPr="00E12C99">
              <w:rPr>
                <w:i/>
              </w:rPr>
              <w:t>Cleared by the Chief Executive</w:t>
            </w:r>
          </w:p>
        </w:tc>
        <w:tc>
          <w:tcPr>
            <w:tcW w:w="2551" w:type="dxa"/>
            <w:shd w:val="clear" w:color="auto" w:fill="auto"/>
          </w:tcPr>
          <w:p w:rsidR="004456DD" w:rsidRDefault="004456DD" w:rsidP="00A21B12"/>
        </w:tc>
      </w:tr>
      <w:tr w:rsidR="004456DD" w:rsidTr="0080749A">
        <w:tc>
          <w:tcPr>
            <w:tcW w:w="5342" w:type="dxa"/>
            <w:shd w:val="clear" w:color="auto" w:fill="auto"/>
          </w:tcPr>
          <w:p w:rsidR="004456DD" w:rsidRPr="00E12C99" w:rsidRDefault="004456DD" w:rsidP="00A21B12">
            <w:pPr>
              <w:rPr>
                <w:b/>
              </w:rPr>
            </w:pPr>
            <w:r w:rsidRPr="00E12C99">
              <w:rPr>
                <w:b/>
              </w:rPr>
              <w:t>Final Draft:</w:t>
            </w:r>
          </w:p>
          <w:p w:rsidR="004456DD" w:rsidRPr="00E12C99" w:rsidRDefault="004456DD" w:rsidP="00A21B12">
            <w:pPr>
              <w:rPr>
                <w:i/>
              </w:rPr>
            </w:pPr>
            <w:r w:rsidRPr="00E12C99">
              <w:rPr>
                <w:i/>
              </w:rPr>
              <w:t>Cleared by the Board Member</w:t>
            </w:r>
          </w:p>
        </w:tc>
        <w:tc>
          <w:tcPr>
            <w:tcW w:w="2551" w:type="dxa"/>
            <w:shd w:val="clear" w:color="auto" w:fill="auto"/>
          </w:tcPr>
          <w:p w:rsidR="004456DD" w:rsidRDefault="004456DD" w:rsidP="00A21B12"/>
        </w:tc>
      </w:tr>
      <w:tr w:rsidR="004456DD" w:rsidTr="0080749A">
        <w:tc>
          <w:tcPr>
            <w:tcW w:w="5342" w:type="dxa"/>
            <w:shd w:val="clear" w:color="auto" w:fill="auto"/>
          </w:tcPr>
          <w:p w:rsidR="004456DD" w:rsidRPr="00E12C99" w:rsidRDefault="004456DD" w:rsidP="00A21B12">
            <w:pPr>
              <w:rPr>
                <w:b/>
              </w:rPr>
            </w:pPr>
            <w:r w:rsidRPr="00E12C99">
              <w:rPr>
                <w:b/>
              </w:rPr>
              <w:t>Final Report:</w:t>
            </w:r>
          </w:p>
          <w:p w:rsidR="004456DD" w:rsidRPr="00E12C99" w:rsidRDefault="004456DD" w:rsidP="00A21B12">
            <w:pPr>
              <w:rPr>
                <w:i/>
              </w:rPr>
            </w:pPr>
            <w:r w:rsidRPr="00E12C99">
              <w:rPr>
                <w:i/>
              </w:rPr>
              <w:t>Cleared by Labour Group</w:t>
            </w:r>
          </w:p>
        </w:tc>
        <w:tc>
          <w:tcPr>
            <w:tcW w:w="2551" w:type="dxa"/>
            <w:shd w:val="clear" w:color="auto" w:fill="auto"/>
          </w:tcPr>
          <w:p w:rsidR="004456DD" w:rsidRDefault="004456DD" w:rsidP="00A21B12"/>
        </w:tc>
      </w:tr>
    </w:tbl>
    <w:p w:rsidR="004456DD" w:rsidRDefault="004456DD" w:rsidP="0093067A"/>
    <w:p w:rsidR="004B038E" w:rsidRDefault="004B038E" w:rsidP="0093067A"/>
    <w:p w:rsidR="004B038E" w:rsidRDefault="004B038E" w:rsidP="0093067A"/>
    <w:p w:rsidR="004B038E" w:rsidRDefault="004B038E" w:rsidP="0093067A"/>
    <w:p w:rsidR="004B038E" w:rsidRDefault="004B038E" w:rsidP="0093067A"/>
    <w:p w:rsidR="004B038E" w:rsidRDefault="004B038E" w:rsidP="0093067A"/>
    <w:p w:rsidR="0039756F" w:rsidRDefault="0039756F" w:rsidP="004B038E">
      <w:pPr>
        <w:ind w:left="-284"/>
        <w:jc w:val="right"/>
      </w:pPr>
    </w:p>
    <w:p w:rsidR="0039756F" w:rsidRDefault="0039756F" w:rsidP="004B038E">
      <w:pPr>
        <w:ind w:left="-284"/>
        <w:jc w:val="right"/>
      </w:pPr>
    </w:p>
    <w:p w:rsidR="00DE6D5D" w:rsidRDefault="00DE6D5D" w:rsidP="004B038E">
      <w:pPr>
        <w:ind w:left="-284"/>
        <w:jc w:val="right"/>
      </w:pPr>
    </w:p>
    <w:p w:rsidR="001A4569" w:rsidRDefault="001A4569" w:rsidP="001A4569">
      <w:pPr>
        <w:spacing w:after="0"/>
        <w:rPr>
          <w:rFonts w:eastAsiaTheme="minorHAnsi" w:cs="Arial"/>
          <w:b/>
          <w:color w:val="auto"/>
        </w:rPr>
      </w:pPr>
    </w:p>
    <w:p w:rsidR="001A4569" w:rsidRDefault="001A4569" w:rsidP="001A4569">
      <w:pPr>
        <w:spacing w:after="0"/>
        <w:rPr>
          <w:rFonts w:eastAsiaTheme="minorHAnsi" w:cs="Arial"/>
          <w:b/>
          <w:color w:val="auto"/>
        </w:rPr>
      </w:pPr>
    </w:p>
    <w:sectPr w:rsidR="001A4569" w:rsidSect="00C26E65">
      <w:footerReference w:type="even" r:id="rId14"/>
      <w:headerReference w:type="first" r:id="rId15"/>
      <w:footerReference w:type="first" r:id="rId16"/>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5EB" w:rsidRDefault="00C475EB" w:rsidP="004A6D2F">
      <w:r>
        <w:separator/>
      </w:r>
    </w:p>
  </w:endnote>
  <w:endnote w:type="continuationSeparator" w:id="0">
    <w:p w:rsidR="00C475EB" w:rsidRDefault="00C475E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5EB" w:rsidRDefault="00C475EB" w:rsidP="004A6D2F">
      <w:r>
        <w:separator/>
      </w:r>
    </w:p>
  </w:footnote>
  <w:footnote w:type="continuationSeparator" w:id="0">
    <w:p w:rsidR="00C475EB" w:rsidRDefault="00C475E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01362B" w:rsidP="00D5547E">
    <w:pPr>
      <w:pStyle w:val="Header"/>
      <w:jc w:val="right"/>
    </w:pPr>
    <w:r>
      <w:rPr>
        <w:noProof/>
      </w:rPr>
      <w:drawing>
        <wp:inline distT="0" distB="0" distL="0" distR="0" wp14:anchorId="64C4FE42" wp14:editId="745B03F6">
          <wp:extent cx="838200" cy="1120140"/>
          <wp:effectExtent l="0" t="0" r="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9B04F1C"/>
    <w:multiLevelType w:val="multilevel"/>
    <w:tmpl w:val="9530EFD6"/>
    <w:lvl w:ilvl="0">
      <w:start w:val="1"/>
      <w:numFmt w:val="decimal"/>
      <w:lvlText w:val="%1."/>
      <w:lvlJc w:val="left"/>
      <w:pPr>
        <w:ind w:left="360" w:hanging="360"/>
      </w:pPr>
      <w:rPr>
        <w:rFonts w:ascii="Arial" w:hAnsi="Arial"/>
        <w:color w:val="00000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F37D47"/>
    <w:multiLevelType w:val="hybridMultilevel"/>
    <w:tmpl w:val="8E061278"/>
    <w:lvl w:ilvl="0" w:tplc="E5847B7A">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9333FB8"/>
    <w:multiLevelType w:val="multilevel"/>
    <w:tmpl w:val="58146DD0"/>
    <w:lvl w:ilvl="0">
      <w:start w:val="3"/>
      <w:numFmt w:val="decimal"/>
      <w:lvlText w:val="%1."/>
      <w:lvlJc w:val="left"/>
      <w:pPr>
        <w:ind w:left="360" w:hanging="360"/>
      </w:pPr>
      <w:rPr>
        <w:rFonts w:hint="default"/>
      </w:rPr>
    </w:lvl>
    <w:lvl w:ilvl="1">
      <w:start w:val="1"/>
      <w:numFmt w:val="decimal"/>
      <w:pStyle w:val="ReportPara"/>
      <w:lvlText w:val="%1.%2."/>
      <w:lvlJc w:val="left"/>
      <w:pPr>
        <w:ind w:left="792" w:hanging="432"/>
      </w:pPr>
      <w:rPr>
        <w:rFonts w:ascii="Gill Sans MT" w:hAnsi="Gill Sans MT"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A326DDB"/>
    <w:multiLevelType w:val="hybridMultilevel"/>
    <w:tmpl w:val="5830B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FB76A058"/>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7"/>
  </w:num>
  <w:num w:numId="2">
    <w:abstractNumId w:val="34"/>
  </w:num>
  <w:num w:numId="3">
    <w:abstractNumId w:val="23"/>
  </w:num>
  <w:num w:numId="4">
    <w:abstractNumId w:val="19"/>
  </w:num>
  <w:num w:numId="5">
    <w:abstractNumId w:val="31"/>
  </w:num>
  <w:num w:numId="6">
    <w:abstractNumId w:val="35"/>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6"/>
  </w:num>
  <w:num w:numId="15">
    <w:abstractNumId w:val="17"/>
  </w:num>
  <w:num w:numId="16">
    <w:abstractNumId w:val="11"/>
  </w:num>
  <w:num w:numId="17">
    <w:abstractNumId w:val="30"/>
  </w:num>
  <w:num w:numId="18">
    <w:abstractNumId w:val="12"/>
  </w:num>
  <w:num w:numId="19">
    <w:abstractNumId w:val="32"/>
  </w:num>
  <w:num w:numId="20">
    <w:abstractNumId w:val="18"/>
  </w:num>
  <w:num w:numId="21">
    <w:abstractNumId w:val="21"/>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8"/>
  </w:num>
  <w:num w:numId="35">
    <w:abstractNumId w:val="14"/>
  </w:num>
  <w:num w:numId="36">
    <w:abstractNumId w:val="29"/>
  </w:num>
  <w:num w:numId="37">
    <w:abstractNumId w:val="2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20"/>
    <w:rsid w:val="000117D4"/>
    <w:rsid w:val="0001362B"/>
    <w:rsid w:val="000314D7"/>
    <w:rsid w:val="00031E14"/>
    <w:rsid w:val="00032392"/>
    <w:rsid w:val="00045F8B"/>
    <w:rsid w:val="000464D2"/>
    <w:rsid w:val="00046D2B"/>
    <w:rsid w:val="00056263"/>
    <w:rsid w:val="0005792C"/>
    <w:rsid w:val="00064D8A"/>
    <w:rsid w:val="00064F82"/>
    <w:rsid w:val="00066510"/>
    <w:rsid w:val="00075702"/>
    <w:rsid w:val="00077523"/>
    <w:rsid w:val="00091EAA"/>
    <w:rsid w:val="000B1ABD"/>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4569"/>
    <w:rsid w:val="001A5731"/>
    <w:rsid w:val="001B42C3"/>
    <w:rsid w:val="001C5D5E"/>
    <w:rsid w:val="001D678D"/>
    <w:rsid w:val="001E03F8"/>
    <w:rsid w:val="001E1678"/>
    <w:rsid w:val="001E3376"/>
    <w:rsid w:val="001E7696"/>
    <w:rsid w:val="00205500"/>
    <w:rsid w:val="002069B3"/>
    <w:rsid w:val="00207736"/>
    <w:rsid w:val="002329CF"/>
    <w:rsid w:val="00232F5B"/>
    <w:rsid w:val="00247C29"/>
    <w:rsid w:val="00260467"/>
    <w:rsid w:val="00263EA3"/>
    <w:rsid w:val="002722B1"/>
    <w:rsid w:val="00284F85"/>
    <w:rsid w:val="00284F9C"/>
    <w:rsid w:val="00290915"/>
    <w:rsid w:val="002A22E2"/>
    <w:rsid w:val="002C5D98"/>
    <w:rsid w:val="002C64F7"/>
    <w:rsid w:val="002D3C10"/>
    <w:rsid w:val="002E28EF"/>
    <w:rsid w:val="002F41F2"/>
    <w:rsid w:val="00301BF3"/>
    <w:rsid w:val="0030208D"/>
    <w:rsid w:val="003161C0"/>
    <w:rsid w:val="00323418"/>
    <w:rsid w:val="003357BF"/>
    <w:rsid w:val="00364FAD"/>
    <w:rsid w:val="0036738F"/>
    <w:rsid w:val="0036759C"/>
    <w:rsid w:val="00367AE5"/>
    <w:rsid w:val="00367D71"/>
    <w:rsid w:val="0038150A"/>
    <w:rsid w:val="0039756F"/>
    <w:rsid w:val="003B4D2A"/>
    <w:rsid w:val="003B6E75"/>
    <w:rsid w:val="003B7DA1"/>
    <w:rsid w:val="003D0379"/>
    <w:rsid w:val="003D2574"/>
    <w:rsid w:val="003D4C59"/>
    <w:rsid w:val="003E3921"/>
    <w:rsid w:val="003F4267"/>
    <w:rsid w:val="003F42AD"/>
    <w:rsid w:val="00403F61"/>
    <w:rsid w:val="00404032"/>
    <w:rsid w:val="0040736F"/>
    <w:rsid w:val="00412C1F"/>
    <w:rsid w:val="00421CB2"/>
    <w:rsid w:val="0042227E"/>
    <w:rsid w:val="004268B9"/>
    <w:rsid w:val="00433B96"/>
    <w:rsid w:val="004440F1"/>
    <w:rsid w:val="004456DD"/>
    <w:rsid w:val="00446CDF"/>
    <w:rsid w:val="004521B7"/>
    <w:rsid w:val="00462AB5"/>
    <w:rsid w:val="00465EAF"/>
    <w:rsid w:val="004738C5"/>
    <w:rsid w:val="00491046"/>
    <w:rsid w:val="004A2AC7"/>
    <w:rsid w:val="004A6D2F"/>
    <w:rsid w:val="004B038E"/>
    <w:rsid w:val="004C0320"/>
    <w:rsid w:val="004C2887"/>
    <w:rsid w:val="004D2626"/>
    <w:rsid w:val="004D4A28"/>
    <w:rsid w:val="004D6E26"/>
    <w:rsid w:val="004D77D3"/>
    <w:rsid w:val="004E2959"/>
    <w:rsid w:val="004F20EF"/>
    <w:rsid w:val="0050321C"/>
    <w:rsid w:val="00526BD7"/>
    <w:rsid w:val="0054712D"/>
    <w:rsid w:val="00547EF6"/>
    <w:rsid w:val="005570B5"/>
    <w:rsid w:val="00567E18"/>
    <w:rsid w:val="00575F5F"/>
    <w:rsid w:val="00581805"/>
    <w:rsid w:val="00585F76"/>
    <w:rsid w:val="00591683"/>
    <w:rsid w:val="005A34E4"/>
    <w:rsid w:val="005B17F2"/>
    <w:rsid w:val="005B7FB0"/>
    <w:rsid w:val="005C35A5"/>
    <w:rsid w:val="005C577C"/>
    <w:rsid w:val="005D0621"/>
    <w:rsid w:val="005D1E27"/>
    <w:rsid w:val="005D2A3E"/>
    <w:rsid w:val="005E022E"/>
    <w:rsid w:val="005E5215"/>
    <w:rsid w:val="005F7F7E"/>
    <w:rsid w:val="00614693"/>
    <w:rsid w:val="00615B00"/>
    <w:rsid w:val="00623C2F"/>
    <w:rsid w:val="00633578"/>
    <w:rsid w:val="00637068"/>
    <w:rsid w:val="00650811"/>
    <w:rsid w:val="006561BE"/>
    <w:rsid w:val="00661D3E"/>
    <w:rsid w:val="00692627"/>
    <w:rsid w:val="006969E7"/>
    <w:rsid w:val="006A3643"/>
    <w:rsid w:val="006C2A29"/>
    <w:rsid w:val="006C64CF"/>
    <w:rsid w:val="006D0865"/>
    <w:rsid w:val="006D17B1"/>
    <w:rsid w:val="006D4752"/>
    <w:rsid w:val="006D708A"/>
    <w:rsid w:val="006E14C1"/>
    <w:rsid w:val="006F0292"/>
    <w:rsid w:val="006F0CC0"/>
    <w:rsid w:val="006F0DE9"/>
    <w:rsid w:val="006F27FA"/>
    <w:rsid w:val="006F416B"/>
    <w:rsid w:val="006F519B"/>
    <w:rsid w:val="00713675"/>
    <w:rsid w:val="00715823"/>
    <w:rsid w:val="00734460"/>
    <w:rsid w:val="00737B93"/>
    <w:rsid w:val="00745BF0"/>
    <w:rsid w:val="007604DE"/>
    <w:rsid w:val="007615FE"/>
    <w:rsid w:val="0076655C"/>
    <w:rsid w:val="007742DC"/>
    <w:rsid w:val="0078686F"/>
    <w:rsid w:val="00791437"/>
    <w:rsid w:val="007B0C2C"/>
    <w:rsid w:val="007B1724"/>
    <w:rsid w:val="007B278E"/>
    <w:rsid w:val="007C5C23"/>
    <w:rsid w:val="007E290C"/>
    <w:rsid w:val="007E2A26"/>
    <w:rsid w:val="007F2348"/>
    <w:rsid w:val="007F2A47"/>
    <w:rsid w:val="00803F07"/>
    <w:rsid w:val="0080749A"/>
    <w:rsid w:val="00821FB8"/>
    <w:rsid w:val="00822ACD"/>
    <w:rsid w:val="00825B2E"/>
    <w:rsid w:val="008554DD"/>
    <w:rsid w:val="00855877"/>
    <w:rsid w:val="00855C66"/>
    <w:rsid w:val="00870482"/>
    <w:rsid w:val="00871EE4"/>
    <w:rsid w:val="00877614"/>
    <w:rsid w:val="00880A6C"/>
    <w:rsid w:val="008B058D"/>
    <w:rsid w:val="008B293F"/>
    <w:rsid w:val="008B4448"/>
    <w:rsid w:val="008B44AC"/>
    <w:rsid w:val="008B7371"/>
    <w:rsid w:val="008D3DDB"/>
    <w:rsid w:val="008D7D00"/>
    <w:rsid w:val="008E4CD0"/>
    <w:rsid w:val="008F573F"/>
    <w:rsid w:val="009034EC"/>
    <w:rsid w:val="00903D3E"/>
    <w:rsid w:val="0093067A"/>
    <w:rsid w:val="009349FB"/>
    <w:rsid w:val="00941C60"/>
    <w:rsid w:val="00966D42"/>
    <w:rsid w:val="00971689"/>
    <w:rsid w:val="00973E90"/>
    <w:rsid w:val="00975B07"/>
    <w:rsid w:val="00980B4A"/>
    <w:rsid w:val="009941D7"/>
    <w:rsid w:val="009A36CC"/>
    <w:rsid w:val="009B5307"/>
    <w:rsid w:val="009E3D0A"/>
    <w:rsid w:val="009E51FC"/>
    <w:rsid w:val="009F1D28"/>
    <w:rsid w:val="009F7618"/>
    <w:rsid w:val="00A04D23"/>
    <w:rsid w:val="00A0569E"/>
    <w:rsid w:val="00A06766"/>
    <w:rsid w:val="00A13765"/>
    <w:rsid w:val="00A16009"/>
    <w:rsid w:val="00A21B12"/>
    <w:rsid w:val="00A23F80"/>
    <w:rsid w:val="00A46E98"/>
    <w:rsid w:val="00A52A8C"/>
    <w:rsid w:val="00A60F5F"/>
    <w:rsid w:val="00A6352B"/>
    <w:rsid w:val="00A701B5"/>
    <w:rsid w:val="00A714BB"/>
    <w:rsid w:val="00A76639"/>
    <w:rsid w:val="00A87E0F"/>
    <w:rsid w:val="00A92D8F"/>
    <w:rsid w:val="00AB2988"/>
    <w:rsid w:val="00AB7999"/>
    <w:rsid w:val="00AD3292"/>
    <w:rsid w:val="00AE7AF0"/>
    <w:rsid w:val="00AF2C34"/>
    <w:rsid w:val="00AF6509"/>
    <w:rsid w:val="00B500CA"/>
    <w:rsid w:val="00B70544"/>
    <w:rsid w:val="00B86314"/>
    <w:rsid w:val="00BA1C2E"/>
    <w:rsid w:val="00BA4D5D"/>
    <w:rsid w:val="00BC200B"/>
    <w:rsid w:val="00BC4756"/>
    <w:rsid w:val="00BC69A4"/>
    <w:rsid w:val="00BE0680"/>
    <w:rsid w:val="00BE305F"/>
    <w:rsid w:val="00BE7BA3"/>
    <w:rsid w:val="00BF5682"/>
    <w:rsid w:val="00BF7B09"/>
    <w:rsid w:val="00C019CD"/>
    <w:rsid w:val="00C20A95"/>
    <w:rsid w:val="00C23C73"/>
    <w:rsid w:val="00C2692F"/>
    <w:rsid w:val="00C26E65"/>
    <w:rsid w:val="00C3207C"/>
    <w:rsid w:val="00C400E1"/>
    <w:rsid w:val="00C41187"/>
    <w:rsid w:val="00C4622C"/>
    <w:rsid w:val="00C475EB"/>
    <w:rsid w:val="00C63C31"/>
    <w:rsid w:val="00C646BA"/>
    <w:rsid w:val="00C7439C"/>
    <w:rsid w:val="00C757A0"/>
    <w:rsid w:val="00C760DE"/>
    <w:rsid w:val="00C82630"/>
    <w:rsid w:val="00C85B4E"/>
    <w:rsid w:val="00C907F7"/>
    <w:rsid w:val="00C90CAE"/>
    <w:rsid w:val="00CA2103"/>
    <w:rsid w:val="00CB6B99"/>
    <w:rsid w:val="00CE4C87"/>
    <w:rsid w:val="00CE544A"/>
    <w:rsid w:val="00D00C85"/>
    <w:rsid w:val="00D11E1C"/>
    <w:rsid w:val="00D160B0"/>
    <w:rsid w:val="00D17F94"/>
    <w:rsid w:val="00D223FC"/>
    <w:rsid w:val="00D26D1E"/>
    <w:rsid w:val="00D35F51"/>
    <w:rsid w:val="00D36230"/>
    <w:rsid w:val="00D474CF"/>
    <w:rsid w:val="00D5547E"/>
    <w:rsid w:val="00D635DC"/>
    <w:rsid w:val="00D658B4"/>
    <w:rsid w:val="00D74106"/>
    <w:rsid w:val="00D8591A"/>
    <w:rsid w:val="00D869A1"/>
    <w:rsid w:val="00DA413F"/>
    <w:rsid w:val="00DA4584"/>
    <w:rsid w:val="00DA614B"/>
    <w:rsid w:val="00DB6C15"/>
    <w:rsid w:val="00DC3060"/>
    <w:rsid w:val="00DE0FB2"/>
    <w:rsid w:val="00DE6D5D"/>
    <w:rsid w:val="00DF093E"/>
    <w:rsid w:val="00E01F42"/>
    <w:rsid w:val="00E206D6"/>
    <w:rsid w:val="00E3366E"/>
    <w:rsid w:val="00E3498C"/>
    <w:rsid w:val="00E52086"/>
    <w:rsid w:val="00E543A6"/>
    <w:rsid w:val="00E55F08"/>
    <w:rsid w:val="00E60479"/>
    <w:rsid w:val="00E61D73"/>
    <w:rsid w:val="00E65026"/>
    <w:rsid w:val="00E73684"/>
    <w:rsid w:val="00E818D6"/>
    <w:rsid w:val="00E87F7A"/>
    <w:rsid w:val="00E96BD7"/>
    <w:rsid w:val="00EA0DB1"/>
    <w:rsid w:val="00EA0EE9"/>
    <w:rsid w:val="00ED52CA"/>
    <w:rsid w:val="00ED5860"/>
    <w:rsid w:val="00EE35C9"/>
    <w:rsid w:val="00F05ECA"/>
    <w:rsid w:val="00F17364"/>
    <w:rsid w:val="00F277E8"/>
    <w:rsid w:val="00F27DD0"/>
    <w:rsid w:val="00F3566E"/>
    <w:rsid w:val="00F375FB"/>
    <w:rsid w:val="00F41AC1"/>
    <w:rsid w:val="00F4367A"/>
    <w:rsid w:val="00F445B1"/>
    <w:rsid w:val="00F45CD4"/>
    <w:rsid w:val="00F66DCA"/>
    <w:rsid w:val="00F74F53"/>
    <w:rsid w:val="00F7606D"/>
    <w:rsid w:val="00F76C83"/>
    <w:rsid w:val="00F81670"/>
    <w:rsid w:val="00F82024"/>
    <w:rsid w:val="00F84D7C"/>
    <w:rsid w:val="00F95BC9"/>
    <w:rsid w:val="00F96796"/>
    <w:rsid w:val="00FA624C"/>
    <w:rsid w:val="00FD0FAC"/>
    <w:rsid w:val="00FD1DFA"/>
    <w:rsid w:val="00FD4966"/>
    <w:rsid w:val="00FE20B5"/>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ReportPara">
    <w:name w:val="Report Para"/>
    <w:basedOn w:val="Normal"/>
    <w:rsid w:val="00403F61"/>
    <w:pPr>
      <w:numPr>
        <w:ilvl w:val="1"/>
        <w:numId w:val="34"/>
      </w:numPr>
      <w:ind w:left="1260" w:hanging="720"/>
    </w:pPr>
    <w:rPr>
      <w:rFonts w:ascii="Gill Sans MT" w:hAnsi="Gill Sans MT"/>
      <w:color w:val="auto"/>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1">
    <w:name w:val="Table Grid1"/>
    <w:basedOn w:val="TableNormal"/>
    <w:next w:val="TableGrid"/>
    <w:rsid w:val="004B038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basedOn w:val="DefaultParagraphFont"/>
    <w:rsid w:val="00091E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ReportPara">
    <w:name w:val="Report Para"/>
    <w:basedOn w:val="Normal"/>
    <w:rsid w:val="00403F61"/>
    <w:pPr>
      <w:numPr>
        <w:ilvl w:val="1"/>
        <w:numId w:val="34"/>
      </w:numPr>
      <w:ind w:left="1260" w:hanging="720"/>
    </w:pPr>
    <w:rPr>
      <w:rFonts w:ascii="Gill Sans MT" w:hAnsi="Gill Sans MT"/>
      <w:color w:val="auto"/>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1">
    <w:name w:val="Table Grid1"/>
    <w:basedOn w:val="TableNormal"/>
    <w:next w:val="TableGrid"/>
    <w:rsid w:val="004B038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basedOn w:val="DefaultParagraphFont"/>
    <w:rsid w:val="00091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ce2018.org.uk/node/64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dependent.gov.uk/boundarycommissionforengl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e2018.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ndependent.gov.uk/boundarycommissionforengland" TargetMode="External"/><Relationship Id="rId4" Type="http://schemas.microsoft.com/office/2007/relationships/stylesWithEffects" Target="stylesWithEffects.xml"/><Relationship Id="rId9" Type="http://schemas.openxmlformats.org/officeDocument/2006/relationships/hyperlink" Target="http://boundarycommissionforengland.independent.gov.uk/wp-content/uploads/2016/07/2016-07-11-Guide-to-2018-review-Final-Version.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8C8B-587E-4EC8-8402-966E1A94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40B9E50C.dotm</Template>
  <TotalTime>19</TotalTime>
  <Pages>5</Pages>
  <Words>1373</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Martin.John</dc:creator>
  <cp:lastModifiedBy>Sarah.Claridge</cp:lastModifiedBy>
  <cp:revision>6</cp:revision>
  <cp:lastPrinted>2015-07-03T12:50:00Z</cp:lastPrinted>
  <dcterms:created xsi:type="dcterms:W3CDTF">2016-10-10T14:28:00Z</dcterms:created>
  <dcterms:modified xsi:type="dcterms:W3CDTF">2016-10-17T10:34:00Z</dcterms:modified>
</cp:coreProperties>
</file>